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9601A">
      <w:pPr>
        <w:pStyle w:val="31"/>
        <w:jc w:val="center"/>
      </w:pPr>
      <w:r>
        <w:t>Release 1 Strategic Analysis and Release 2 Improvement Proposal</w:t>
      </w:r>
    </w:p>
    <w:p w14:paraId="53C516F5">
      <w:pPr>
        <w:jc w:val="center"/>
      </w:pPr>
      <w:r>
        <w:rPr>
          <w:i/>
          <w:sz w:val="20"/>
        </w:rPr>
        <w:t>For Sprint Review on Wednesday 14 October 2026</w:t>
      </w:r>
    </w:p>
    <w:p w14:paraId="21E18D21">
      <w:pPr>
        <w:pStyle w:val="3"/>
      </w:pPr>
      <w:r>
        <w:rPr>
          <w:rFonts w:hint="eastAsia" w:eastAsia="宋体"/>
          <w:lang w:val="en-US" w:eastAsia="zh-CN"/>
        </w:rPr>
        <w:t xml:space="preserve"> </w:t>
      </w:r>
      <w:r>
        <w:t>1 Scope and review boundary</w:t>
      </w:r>
    </w:p>
    <w:p w14:paraId="5AB34425">
      <w:r>
        <w:t>The strategic models show only functions that are present in the current Release 1 package. The detailed BPMN contains six executable processes: the integrated master process plus referral, appointment, finance, treatment, and enquiry/clinic-letter processes. The source package also contains Camunda Forms and seven Java external-worker job types. The diagrams below therefore describe the current increment, not the full case-study ambition.</w:t>
      </w:r>
    </w:p>
    <w:p w14:paraId="7035CA8F">
      <w:pPr>
        <w:pStyle w:val="3"/>
      </w:pPr>
      <w:r>
        <w:t>2 Strategic BPMN model of Release 1</w:t>
      </w:r>
      <w:bookmarkStart w:id="0" w:name="_GoBack"/>
      <w:bookmarkEnd w:id="0"/>
    </w:p>
    <w:p w14:paraId="606CF5CE">
      <w:pPr>
        <w:jc w:val="center"/>
      </w:pPr>
      <w:r>
        <w:drawing>
          <wp:inline distT="0" distB="0" distL="114300" distR="114300">
            <wp:extent cx="6217920" cy="130937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1309450"/>
                    </a:xfrm>
                    <a:prstGeom prst="rect">
                      <a:avLst/>
                    </a:prstGeom>
                  </pic:spPr>
                </pic:pic>
              </a:graphicData>
            </a:graphic>
          </wp:inline>
        </w:drawing>
      </w:r>
    </w:p>
    <w:p w14:paraId="567E849E">
      <w:pPr>
        <w:jc w:val="center"/>
      </w:pPr>
      <w:r>
        <w:rPr>
          <w:i/>
          <w:sz w:val="18"/>
        </w:rPr>
        <w:t>Figure 1. High-level stages supported by the current Release 1.</w:t>
      </w:r>
    </w:p>
    <w:p w14:paraId="6C022B2E">
      <w:pPr>
        <w:pStyle w:val="3"/>
      </w:pPr>
      <w:r>
        <w:t>3 i star Strategic Dependency model</w:t>
      </w:r>
    </w:p>
    <w:p w14:paraId="75B5AE7B">
      <w:r>
        <w:t>The current SD model has six actors: Patient and Referrer; Referral and Consultant Review; Appointment and Patient Communication; Finance; Treatment and Chemotherapy; and Enquiry Clinic Letter and Monitoring. Each dependency identifies a concrete dependum and the actor that relies on it.</w:t>
      </w:r>
    </w:p>
    <w:p w14:paraId="506D9985">
      <w:pPr>
        <w:jc w:val="center"/>
      </w:pPr>
      <w:r>
        <w:drawing>
          <wp:inline distT="0" distB="0" distL="114300" distR="114300">
            <wp:extent cx="5806440" cy="2756867"/>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06440" cy="2756867"/>
                    </a:xfrm>
                    <a:prstGeom prst="rect">
                      <a:avLst/>
                    </a:prstGeom>
                  </pic:spPr>
                </pic:pic>
              </a:graphicData>
            </a:graphic>
          </wp:inline>
        </w:drawing>
      </w:r>
    </w:p>
    <w:p w14:paraId="0C2C25E7">
      <w:pPr>
        <w:jc w:val="center"/>
      </w:pPr>
      <w:r>
        <w:rPr>
          <w:i/>
          <w:sz w:val="18"/>
        </w:rPr>
        <w:t>Figure 2. Current Release 1 strategic dependencies across six actors.</w:t>
      </w:r>
    </w:p>
    <w:p w14:paraId="7AB7BF01">
      <w:pPr>
        <w:spacing w:after="120"/>
      </w:pPr>
      <w:r>
        <w:t>The ten current dependencies are Referral details; Accepted referral and booking requirements; Appointment confirmation and contact; Patient and appointment data; Financial clearance; Treatment modification financial impact; Consultation outcome; Patient enquiry; Clinic letter and pathway update; and Financial or urgent clinical enquiry. These dependencies connect the operational ownership areas: referral information is validated and accepted before booking, appointment data supports financial routing, financial clearance supports treatment, consultation outcomes support clinic letters, and patient enquiries or pathway updates return to the patient and referrer.</w:t>
      </w:r>
    </w:p>
    <w:p w14:paraId="6ECCC89A">
      <w:pPr>
        <w:pStyle w:val="3"/>
      </w:pPr>
      <w:r>
        <w:t>4 i star Strategic Rationale model</w:t>
      </w:r>
    </w:p>
    <w:p w14:paraId="1246EE31">
      <w:r>
        <w:t>The SR model explains the internal rationale for the same five operational actors, while Patient and Referrer remains an external actor. Referral and Consultant Review pursues a safe referral decision and complete, traceable referral; Appointment and Patient Communication pursues a timely confirmed appointment and clear patient communication; Finance pursues financial clearance before treatment and avoidance of duplicate charge; Treatment and Chemotherapy pursues safe and appropriate treatment and clinical safety; and Enquiry Clinic Letter and Monitoring pursues accurate and timely patient updates and timely, clear communication.</w:t>
      </w:r>
    </w:p>
    <w:p w14:paraId="4C0C4C26">
      <w:pPr>
        <w:jc w:val="center"/>
      </w:pPr>
      <w:r>
        <w:drawing>
          <wp:inline distT="0" distB="0" distL="114300" distR="114300">
            <wp:extent cx="5806440" cy="337337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06440" cy="3373371"/>
                    </a:xfrm>
                    <a:prstGeom prst="rect">
                      <a:avLst/>
                    </a:prstGeom>
                  </pic:spPr>
                </pic:pic>
              </a:graphicData>
            </a:graphic>
          </wp:inline>
        </w:drawing>
      </w:r>
    </w:p>
    <w:p w14:paraId="5FCD4F06">
      <w:pPr>
        <w:jc w:val="center"/>
      </w:pPr>
      <w:r>
        <w:rPr>
          <w:i/>
          <w:sz w:val="18"/>
        </w:rPr>
        <w:t>Figure 3. Current Release 1 strategic rationale, goals, qualities and tasks by actor.</w:t>
      </w:r>
    </w:p>
    <w:p w14:paraId="6220E907">
      <w:pPr>
        <w:spacing w:after="120"/>
      </w:pPr>
      <w:r>
        <w:t>The refinement and contribution links in the current diagram are deliberate. Capture and validate referral plus consultant review and decision AND-refine Safe referral decision. Receive booking and search slot plus confirm appointment and contact patient AND-refine Timely confirmed appointment. Determine funding route, process payment or approved refund, and confirm financial clearance AND-refine Financial clearance before treatment. Record consent and treatment request, check resource availability, and assess treatment and review cycle AND-refine Safe and appropriate treatment. In the enquiry area, preparing and distributing a clinic letter OR recording, classifying and routing an enquiry can achieve Accurate and timely patient updates. Contribution links connect tasks to qualities, for example escalation supports clear communication, payment processing and exception review support avoiding duplicate charge, and treatment tasks support clinical safety.</w:t>
      </w:r>
    </w:p>
    <w:p w14:paraId="2257A682">
      <w:pPr>
        <w:pStyle w:val="3"/>
      </w:pPr>
      <w:r>
        <w:t>5 Evidence-based evaluation of Release 1</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61AA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114EE599">
            <w:pPr>
              <w:spacing w:after="40" w:line="240" w:lineRule="auto"/>
            </w:pPr>
            <w:r>
              <w:rPr>
                <w:rFonts w:ascii="Arial" w:hAnsi="Arial" w:eastAsia="微软雅黑"/>
                <w:b/>
                <w:color w:val="FFFFFF"/>
                <w:sz w:val="18"/>
              </w:rPr>
              <w:t>Area</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6C478BC5">
            <w:pPr>
              <w:spacing w:after="40" w:line="240" w:lineRule="auto"/>
            </w:pPr>
            <w:r>
              <w:rPr>
                <w:rFonts w:ascii="Arial" w:hAnsi="Arial" w:eastAsia="微软雅黑"/>
                <w:b/>
                <w:color w:val="FFFFFF"/>
                <w:sz w:val="18"/>
              </w:rPr>
              <w:t>Release 1 evidence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5A25293E">
            <w:pPr>
              <w:spacing w:after="40" w:line="240" w:lineRule="auto"/>
            </w:pPr>
            <w:r>
              <w:rPr>
                <w:rFonts w:ascii="Arial" w:hAnsi="Arial" w:eastAsia="微软雅黑"/>
                <w:b/>
                <w:color w:val="FFFFFF"/>
                <w:sz w:val="18"/>
              </w:rPr>
              <w:t>Strength</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791B5DD6">
            <w:pPr>
              <w:spacing w:after="40" w:line="240" w:lineRule="auto"/>
            </w:pPr>
            <w:r>
              <w:rPr>
                <w:rFonts w:ascii="Arial" w:hAnsi="Arial" w:eastAsia="微软雅黑"/>
                <w:b/>
                <w:color w:val="FFFFFF"/>
                <w:sz w:val="18"/>
              </w:rPr>
              <w:t>Limitation or gap to validate</w:t>
            </w:r>
          </w:p>
        </w:tc>
      </w:tr>
      <w:tr w14:paraId="7398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1FAE30">
            <w:pPr>
              <w:spacing w:after="40" w:line="240" w:lineRule="auto"/>
            </w:pPr>
            <w:r>
              <w:rPr>
                <w:rFonts w:ascii="Arial" w:hAnsi="Arial" w:eastAsia="微软雅黑"/>
                <w:b w:val="0"/>
                <w:sz w:val="18"/>
              </w:rPr>
              <w:t>Referral and clinical decision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99B12C1">
            <w:pPr>
              <w:spacing w:after="40" w:line="240" w:lineRule="auto"/>
            </w:pPr>
            <w:r>
              <w:rPr>
                <w:rFonts w:ascii="Arial" w:hAnsi="Arial" w:eastAsia="微软雅黑"/>
                <w:b w:val="0"/>
                <w:sz w:val="18"/>
              </w:rPr>
              <w:t>Process_Referral; referral intake and consultant-review forms; validate-referral-reference worker</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D8D83DB">
            <w:pPr>
              <w:spacing w:after="40" w:line="240" w:lineRule="auto"/>
            </w:pPr>
            <w:r>
              <w:rPr>
                <w:rFonts w:ascii="Arial" w:hAnsi="Arial" w:eastAsia="微软雅黑"/>
                <w:b w:val="0"/>
                <w:sz w:val="18"/>
              </w:rPr>
              <w:t>Referral is validated before consultant decision and an acceptance decision gates appointment progression.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24C81F2">
            <w:pPr>
              <w:spacing w:after="40" w:line="240" w:lineRule="auto"/>
            </w:pPr>
            <w:r>
              <w:rPr>
                <w:rFonts w:ascii="Arial" w:hAnsi="Arial" w:eastAsia="微软雅黑"/>
                <w:b w:val="0"/>
                <w:sz w:val="18"/>
              </w:rPr>
              <w:t>No evidence yet of a live external referral source or identity/RBAC enforcement.</w:t>
            </w:r>
          </w:p>
        </w:tc>
      </w:tr>
      <w:tr w14:paraId="0A67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3F7F3F6F">
            <w:pPr>
              <w:spacing w:after="40" w:line="240" w:lineRule="auto"/>
            </w:pPr>
            <w:r>
              <w:rPr>
                <w:rFonts w:ascii="Arial" w:hAnsi="Arial" w:eastAsia="微软雅黑"/>
                <w:b w:val="0"/>
                <w:sz w:val="18"/>
              </w:rPr>
              <w:t>Appointment and communication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2A87E6D5">
            <w:pPr>
              <w:spacing w:after="40" w:line="240" w:lineRule="auto"/>
            </w:pPr>
            <w:r>
              <w:rPr>
                <w:rFonts w:ascii="Arial" w:hAnsi="Arial" w:eastAsia="微软雅黑"/>
                <w:b w:val="0"/>
                <w:sz w:val="18"/>
              </w:rPr>
              <w:t>Process_Appointment; booking/contact forms; scheduling and letter workers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6B1969F6">
            <w:pPr>
              <w:spacing w:after="40" w:line="240" w:lineRule="auto"/>
            </w:pPr>
            <w:r>
              <w:rPr>
                <w:rFonts w:ascii="Arial" w:hAnsi="Arial" w:eastAsia="微软雅黑"/>
                <w:b w:val="0"/>
                <w:sz w:val="18"/>
              </w:rPr>
              <w:t>Slot availability, two-week contact rule, no-slot and contact outcomes are modelled.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31947E45">
            <w:pPr>
              <w:spacing w:after="40" w:line="240" w:lineRule="auto"/>
            </w:pPr>
            <w:r>
              <w:rPr>
                <w:rFonts w:ascii="Arial" w:hAnsi="Arial" w:eastAsia="微软雅黑"/>
                <w:b w:val="0"/>
                <w:sz w:val="18"/>
              </w:rPr>
              <w:t>Scheduling and correspondence services are explicitly simulated; end-to-end runtime proof remains required.</w:t>
            </w:r>
          </w:p>
        </w:tc>
      </w:tr>
      <w:tr w14:paraId="7DD8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337BE66">
            <w:pPr>
              <w:spacing w:after="40" w:line="240" w:lineRule="auto"/>
            </w:pPr>
            <w:r>
              <w:rPr>
                <w:rFonts w:ascii="Arial" w:hAnsi="Arial" w:eastAsia="微软雅黑"/>
                <w:b w:val="0"/>
                <w:sz w:val="18"/>
              </w:rPr>
              <w:t>Finance and safety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E1AE6D8">
            <w:pPr>
              <w:spacing w:after="40" w:line="240" w:lineRule="auto"/>
            </w:pPr>
            <w:r>
              <w:rPr>
                <w:rFonts w:ascii="Arial" w:hAnsi="Arial" w:eastAsia="微软雅黑"/>
                <w:b w:val="0"/>
                <w:sz w:val="18"/>
              </w:rPr>
              <w:t>Process_Finance; payment/refund workers; five added finance outcome forms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FEDC9CA">
            <w:pPr>
              <w:spacing w:after="40" w:line="240" w:lineRule="auto"/>
            </w:pPr>
            <w:r>
              <w:rPr>
                <w:rFonts w:ascii="Arial" w:hAnsi="Arial" w:eastAsia="微软雅黑"/>
                <w:b w:val="0"/>
                <w:sz w:val="18"/>
              </w:rPr>
              <w:t>Payment status branches include confirmation loss and duplicate-risk investigation; refund is approval-gated.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A799388">
            <w:pPr>
              <w:spacing w:after="40" w:line="240" w:lineRule="auto"/>
            </w:pPr>
            <w:r>
              <w:rPr>
                <w:rFonts w:ascii="Arial" w:hAnsi="Arial" w:eastAsia="微软雅黑"/>
                <w:b w:val="0"/>
                <w:sz w:val="18"/>
              </w:rPr>
              <w:t>No persistent audit store or verified payment-provider integration is in this release.</w:t>
            </w:r>
          </w:p>
        </w:tc>
      </w:tr>
      <w:tr w14:paraId="14DA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764160F">
            <w:pPr>
              <w:spacing w:after="40" w:line="240" w:lineRule="auto"/>
            </w:pPr>
            <w:r>
              <w:rPr>
                <w:rFonts w:ascii="Arial" w:hAnsi="Arial" w:eastAsia="微软雅黑"/>
                <w:b w:val="0"/>
                <w:sz w:val="18"/>
              </w:rPr>
              <w:t>Treatment</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7D5085B3">
            <w:pPr>
              <w:spacing w:after="40" w:line="240" w:lineRule="auto"/>
            </w:pPr>
            <w:r>
              <w:rPr>
                <w:rFonts w:ascii="Arial" w:hAnsi="Arial" w:eastAsia="微软雅黑"/>
                <w:b w:val="0"/>
                <w:sz w:val="18"/>
              </w:rPr>
              <w:t>Process_Treatment; consent/request/cycle forms; resource worker</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74EB3D9">
            <w:pPr>
              <w:spacing w:after="40" w:line="240" w:lineRule="auto"/>
            </w:pPr>
            <w:r>
              <w:rPr>
                <w:rFonts w:ascii="Arial" w:hAnsi="Arial" w:eastAsia="微软雅黑"/>
                <w:b w:val="0"/>
                <w:sz w:val="18"/>
              </w:rPr>
              <w:t>Human clinical judgement and resource availability are separated from automation.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1D55CFA9">
            <w:pPr>
              <w:spacing w:after="40" w:line="240" w:lineRule="auto"/>
            </w:pPr>
            <w:r>
              <w:rPr>
                <w:rFonts w:ascii="Arial" w:hAnsi="Arial" w:eastAsia="微软雅黑"/>
                <w:b w:val="0"/>
                <w:sz w:val="18"/>
              </w:rPr>
              <w:t>Treatment authorisation is captured as workflow data; stronger role-based authorisation needs a Release 2 design.</w:t>
            </w:r>
          </w:p>
        </w:tc>
      </w:tr>
      <w:tr w14:paraId="2BA0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33C6331">
            <w:pPr>
              <w:spacing w:after="40" w:line="240" w:lineRule="auto"/>
            </w:pPr>
            <w:r>
              <w:rPr>
                <w:rFonts w:ascii="Arial" w:hAnsi="Arial" w:eastAsia="微软雅黑"/>
                <w:b w:val="0"/>
                <w:sz w:val="18"/>
              </w:rPr>
              <w:t>Clinic letters and monitoring</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7FB3611">
            <w:pPr>
              <w:spacing w:after="40" w:line="240" w:lineRule="auto"/>
            </w:pPr>
            <w:r>
              <w:rPr>
                <w:rFonts w:ascii="Arial" w:hAnsi="Arial" w:eastAsia="微软雅黑"/>
                <w:b w:val="0"/>
                <w:sz w:val="18"/>
              </w:rPr>
              <w:t>Process_EnquiryLetter; approval/monitoring forms; letter worker</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A92310C">
            <w:pPr>
              <w:spacing w:after="40" w:line="240" w:lineRule="auto"/>
            </w:pPr>
            <w:r>
              <w:rPr>
                <w:rFonts w:ascii="Arial" w:hAnsi="Arial" w:eastAsia="微软雅黑"/>
                <w:b w:val="0"/>
                <w:sz w:val="18"/>
              </w:rPr>
              <w:t>Clinical approval occurs before distribution and monitoring paths are represented.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C6F6614">
            <w:pPr>
              <w:spacing w:after="40" w:line="240" w:lineRule="auto"/>
            </w:pPr>
            <w:r>
              <w:rPr>
                <w:rFonts w:ascii="Arial" w:hAnsi="Arial" w:eastAsia="微软雅黑"/>
                <w:b w:val="0"/>
                <w:sz w:val="18"/>
              </w:rPr>
              <w:t>Timed reminders/escalations need broker runtime demonstration, and delivery is simulated.</w:t>
            </w:r>
          </w:p>
        </w:tc>
      </w:tr>
      <w:tr w14:paraId="7F52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580A8F49">
            <w:pPr>
              <w:spacing w:after="40" w:line="240" w:lineRule="auto"/>
            </w:pPr>
            <w:r>
              <w:rPr>
                <w:rFonts w:ascii="Arial" w:hAnsi="Arial" w:eastAsia="微软雅黑"/>
                <w:b w:val="0"/>
                <w:sz w:val="18"/>
              </w:rPr>
              <w:t>Configuration consistency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22ED37B6">
            <w:pPr>
              <w:spacing w:after="40" w:line="240" w:lineRule="auto"/>
            </w:pPr>
            <w:r>
              <w:rPr>
                <w:rFonts w:ascii="Arial" w:hAnsi="Arial" w:eastAsia="微软雅黑"/>
                <w:b w:val="0"/>
                <w:sz w:val="18"/>
              </w:rPr>
              <w:t>Offline validator: 6 BPMN, 19 Forms, 7 job types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58E67632">
            <w:pPr>
              <w:spacing w:after="40" w:line="240" w:lineRule="auto"/>
            </w:pPr>
            <w:r>
              <w:rPr>
                <w:rFonts w:ascii="Arial" w:hAnsi="Arial" w:eastAsia="微软雅黑"/>
                <w:b w:val="0"/>
                <w:sz w:val="18"/>
              </w:rPr>
              <w:t>XML/JSON, form bindings, call targets and worker job-type references passed offline validation.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34611326">
            <w:pPr>
              <w:spacing w:after="40" w:line="240" w:lineRule="auto"/>
            </w:pPr>
            <w:r>
              <w:rPr>
                <w:rFonts w:ascii="Arial" w:hAnsi="Arial" w:eastAsia="微软雅黑"/>
                <w:b w:val="0"/>
                <w:sz w:val="18"/>
              </w:rPr>
              <w:t>Static success is not the same as a deployed Camunda execution.</w:t>
            </w:r>
          </w:p>
        </w:tc>
      </w:tr>
    </w:tbl>
    <w:p w14:paraId="3C086D68"/>
    <w:p w14:paraId="5A95D7DA">
      <w:pPr>
        <w:pStyle w:val="3"/>
      </w:pPr>
      <w:r>
        <w:t>6 Proposed Release 2 improvements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98A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4B433327">
            <w:pPr>
              <w:spacing w:after="40" w:line="240" w:lineRule="auto"/>
            </w:pPr>
            <w:r>
              <w:rPr>
                <w:rFonts w:ascii="Arial" w:hAnsi="Arial" w:eastAsia="微软雅黑"/>
                <w:b/>
                <w:color w:val="FFFFFF"/>
                <w:sz w:val="18"/>
              </w:rPr>
              <w:t>Priority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7D9ABEFF">
            <w:pPr>
              <w:spacing w:after="40" w:line="240" w:lineRule="auto"/>
            </w:pPr>
            <w:r>
              <w:rPr>
                <w:rFonts w:ascii="Arial" w:hAnsi="Arial" w:eastAsia="微软雅黑"/>
                <w:b/>
                <w:color w:val="FFFFFF"/>
                <w:sz w:val="18"/>
              </w:rPr>
              <w:t>Improvement action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6FCB5186">
            <w:pPr>
              <w:spacing w:after="40" w:line="240" w:lineRule="auto"/>
            </w:pPr>
            <w:r>
              <w:rPr>
                <w:rFonts w:ascii="Arial" w:hAnsi="Arial" w:eastAsia="微软雅黑"/>
                <w:b/>
                <w:color w:val="FFFFFF"/>
                <w:sz w:val="18"/>
              </w:rPr>
              <w:t>Reason from V1 evaluation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9"/>
            <w:vAlign w:val="center"/>
          </w:tcPr>
          <w:p w14:paraId="067D1581">
            <w:pPr>
              <w:spacing w:after="40" w:line="240" w:lineRule="auto"/>
            </w:pPr>
            <w:r>
              <w:rPr>
                <w:rFonts w:ascii="Arial" w:hAnsi="Arial" w:eastAsia="微软雅黑"/>
                <w:b/>
                <w:color w:val="FFFFFF"/>
                <w:sz w:val="18"/>
              </w:rPr>
              <w:t>Acceptance evidence</w:t>
            </w:r>
          </w:p>
        </w:tc>
      </w:tr>
      <w:tr w14:paraId="5FE7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A6ACEF6">
            <w:pPr>
              <w:spacing w:after="40" w:line="240" w:lineRule="auto"/>
            </w:pPr>
            <w:r>
              <w:rPr>
                <w:rFonts w:ascii="Arial" w:hAnsi="Arial" w:eastAsia="微软雅黑"/>
                <w:b w:val="0"/>
                <w:sz w:val="18"/>
              </w:rPr>
              <w:t>P1</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EDE3DEF">
            <w:pPr>
              <w:spacing w:after="40" w:line="240" w:lineRule="auto"/>
            </w:pPr>
            <w:r>
              <w:rPr>
                <w:rFonts w:ascii="Arial" w:hAnsi="Arial" w:eastAsia="微软雅黑"/>
                <w:b w:val="0"/>
                <w:sz w:val="18"/>
              </w:rPr>
              <w:t>Run normal and exception journeys in the teaching Camunda environment and retain task/worker evidence.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C0A59CC">
            <w:pPr>
              <w:spacing w:after="40" w:line="240" w:lineRule="auto"/>
            </w:pPr>
            <w:r>
              <w:rPr>
                <w:rFonts w:ascii="Arial" w:hAnsi="Arial" w:eastAsia="微软雅黑"/>
                <w:b w:val="0"/>
                <w:sz w:val="18"/>
              </w:rPr>
              <w:t>Current validation is structural; a broker execution is still required.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C53A2F8">
            <w:pPr>
              <w:spacing w:after="40" w:line="240" w:lineRule="auto"/>
            </w:pPr>
            <w:r>
              <w:rPr>
                <w:rFonts w:ascii="Arial" w:hAnsi="Arial" w:eastAsia="微软雅黑"/>
                <w:b w:val="0"/>
                <w:sz w:val="18"/>
              </w:rPr>
              <w:t>Deployment version, completed task screenshots/logs, worker output and result for one normal and one exception case.</w:t>
            </w:r>
          </w:p>
        </w:tc>
      </w:tr>
      <w:tr w14:paraId="085A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1BC63498">
            <w:pPr>
              <w:spacing w:after="40" w:line="240" w:lineRule="auto"/>
            </w:pPr>
            <w:r>
              <w:rPr>
                <w:rFonts w:ascii="Arial" w:hAnsi="Arial" w:eastAsia="微软雅黑"/>
                <w:b w:val="0"/>
                <w:sz w:val="18"/>
              </w:rPr>
              <w:t>P1</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52AA993">
            <w:pPr>
              <w:spacing w:after="40" w:line="240" w:lineRule="auto"/>
            </w:pPr>
            <w:r>
              <w:rPr>
                <w:rFonts w:ascii="Arial" w:hAnsi="Arial" w:eastAsia="微软雅黑"/>
                <w:b w:val="0"/>
                <w:sz w:val="18"/>
              </w:rPr>
              <w:t>Add RBAC and a durable audit trail design for consultant, clinician and finance approvals.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72779CC2">
            <w:pPr>
              <w:spacing w:after="40" w:line="240" w:lineRule="auto"/>
            </w:pPr>
            <w:r>
              <w:rPr>
                <w:rFonts w:ascii="Arial" w:hAnsi="Arial" w:eastAsia="微软雅黑"/>
                <w:b w:val="0"/>
                <w:sz w:val="18"/>
              </w:rPr>
              <w:t>V1 models responsibility but does not prove authenticated authorisation or audit persistence.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02DA1F6B">
            <w:pPr>
              <w:spacing w:after="40" w:line="240" w:lineRule="auto"/>
            </w:pPr>
            <w:r>
              <w:rPr>
                <w:rFonts w:ascii="Arial" w:hAnsi="Arial" w:eastAsia="微软雅黑"/>
                <w:b w:val="0"/>
                <w:sz w:val="18"/>
              </w:rPr>
              <w:t>Role matrix, access design, audit fields and an approval-rejection test.</w:t>
            </w:r>
          </w:p>
        </w:tc>
      </w:tr>
      <w:tr w14:paraId="5BCC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E8D152F">
            <w:pPr>
              <w:spacing w:after="40" w:line="240" w:lineRule="auto"/>
            </w:pPr>
            <w:r>
              <w:rPr>
                <w:rFonts w:ascii="Arial" w:hAnsi="Arial" w:eastAsia="微软雅黑"/>
                <w:b w:val="0"/>
                <w:sz w:val="18"/>
              </w:rPr>
              <w:t>P1</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E502AEE">
            <w:pPr>
              <w:spacing w:after="40" w:line="240" w:lineRule="auto"/>
            </w:pPr>
            <w:r>
              <w:rPr>
                <w:rFonts w:ascii="Arial" w:hAnsi="Arial" w:eastAsia="微软雅黑"/>
                <w:b w:val="0"/>
                <w:sz w:val="18"/>
              </w:rPr>
              <w:t>Replace simulated integration boundaries with adapter contracts and failure/retry policy.</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56680BF">
            <w:pPr>
              <w:spacing w:after="40" w:line="240" w:lineRule="auto"/>
            </w:pPr>
            <w:r>
              <w:rPr>
                <w:rFonts w:ascii="Arial" w:hAnsi="Arial" w:eastAsia="微软雅黑"/>
                <w:b w:val="0"/>
                <w:sz w:val="18"/>
              </w:rPr>
              <w:t>Workers identify themselves as simulated external services.</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AA1409">
            <w:pPr>
              <w:spacing w:after="40" w:line="240" w:lineRule="auto"/>
            </w:pPr>
            <w:r>
              <w:rPr>
                <w:rFonts w:ascii="Arial" w:hAnsi="Arial" w:eastAsia="微软雅黑"/>
                <w:b w:val="0"/>
                <w:sz w:val="18"/>
              </w:rPr>
              <w:t>API contract stubs, timeout/error mapping and non-production-data statement.</w:t>
            </w:r>
          </w:p>
        </w:tc>
      </w:tr>
      <w:tr w14:paraId="5911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67C435B9">
            <w:pPr>
              <w:spacing w:after="40" w:line="240" w:lineRule="auto"/>
            </w:pPr>
            <w:r>
              <w:rPr>
                <w:rFonts w:ascii="Arial" w:hAnsi="Arial" w:eastAsia="微软雅黑"/>
                <w:b w:val="0"/>
                <w:sz w:val="18"/>
              </w:rPr>
              <w:t>P2</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4A90EC67">
            <w:pPr>
              <w:spacing w:after="40" w:line="240" w:lineRule="auto"/>
            </w:pPr>
            <w:r>
              <w:rPr>
                <w:rFonts w:ascii="Arial" w:hAnsi="Arial" w:eastAsia="微软雅黑"/>
                <w:b w:val="0"/>
                <w:sz w:val="18"/>
              </w:rPr>
              <w:t>Strengthen form accessibility with help text, error-message review, keyboard-only check and language/support preference.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063C6483">
            <w:pPr>
              <w:spacing w:after="40" w:line="240" w:lineRule="auto"/>
            </w:pPr>
            <w:r>
              <w:rPr>
                <w:rFonts w:ascii="Arial" w:hAnsi="Arial" w:eastAsia="微软雅黑"/>
                <w:b w:val="0"/>
                <w:sz w:val="18"/>
              </w:rPr>
              <w:t>Labels and required checks exist; user-centred testing is not yet evidenced.</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6F9FC"/>
            <w:vAlign w:val="center"/>
          </w:tcPr>
          <w:p w14:paraId="50459A70">
            <w:pPr>
              <w:spacing w:after="40" w:line="240" w:lineRule="auto"/>
            </w:pPr>
            <w:r>
              <w:rPr>
                <w:rFonts w:ascii="Arial" w:hAnsi="Arial" w:eastAsia="微软雅黑"/>
                <w:b w:val="0"/>
                <w:sz w:val="18"/>
              </w:rPr>
              <w:t>Accessibility checklist and observed user-task test results.</w:t>
            </w:r>
          </w:p>
        </w:tc>
      </w:tr>
      <w:tr w14:paraId="0FA0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48FEA7">
            <w:pPr>
              <w:spacing w:after="40" w:line="240" w:lineRule="auto"/>
            </w:pPr>
            <w:r>
              <w:rPr>
                <w:rFonts w:ascii="Arial" w:hAnsi="Arial" w:eastAsia="微软雅黑"/>
                <w:b w:val="0"/>
                <w:sz w:val="18"/>
              </w:rPr>
              <w:t>P2</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BFD49BB">
            <w:pPr>
              <w:spacing w:after="40" w:line="240" w:lineRule="auto"/>
            </w:pPr>
            <w:r>
              <w:rPr>
                <w:rFonts w:ascii="Arial" w:hAnsi="Arial" w:eastAsia="微软雅黑"/>
                <w:b w:val="0"/>
                <w:sz w:val="18"/>
              </w:rPr>
              <w:t>Make monitoring time-based and measurable.</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711C7EF">
            <w:pPr>
              <w:spacing w:after="40" w:line="240" w:lineRule="auto"/>
            </w:pPr>
            <w:r>
              <w:rPr>
                <w:rFonts w:ascii="Arial" w:hAnsi="Arial" w:eastAsia="微软雅黑"/>
                <w:b w:val="0"/>
                <w:sz w:val="18"/>
              </w:rPr>
              <w:t>The BPMN includes monitoring paths, but timers and operational measures require demonstrated configuration.</w:t>
            </w:r>
          </w:p>
        </w:tc>
        <w:tc>
          <w:tcPr>
            <w:tcW w:w="25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3FE8C38">
            <w:pPr>
              <w:spacing w:after="40" w:line="240" w:lineRule="auto"/>
            </w:pPr>
            <w:r>
              <w:rPr>
                <w:rFonts w:ascii="Arial" w:hAnsi="Arial" w:eastAsia="微软雅黑"/>
                <w:b w:val="0"/>
                <w:sz w:val="18"/>
              </w:rPr>
              <w:t>Timer configuration, reminder/escalation evidence and a monitored-age test.</w:t>
            </w:r>
          </w:p>
        </w:tc>
      </w:tr>
    </w:tbl>
    <w:p w14:paraId="4479BCA4"/>
    <w:p w14:paraId="4A3FEBB1">
      <w:pPr>
        <w:rPr>
          <w:rFonts w:hint="eastAsia" w:eastAsia="微软雅黑"/>
          <w:lang w:eastAsia="zh-CN"/>
        </w:rPr>
      </w:pPr>
      <w:r>
        <w:rPr>
          <w:rFonts w:hint="eastAsia"/>
          <w:lang w:val="en-US" w:eastAsia="zh-CN"/>
        </w:rPr>
        <w:t xml:space="preserve"> </w:t>
      </w:r>
    </w:p>
    <w:sectPr>
      <w:footerReference r:id="rId5" w:type="default"/>
      <w:pgSz w:w="12240" w:h="15840"/>
      <w:pgMar w:top="936"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与墨 W04"/>
    <w:panose1 w:val="00000000000000000000"/>
    <w:charset w:val="80"/>
    <w:family w:val="roman"/>
    <w:pitch w:val="default"/>
    <w:sig w:usb0="00000000" w:usb1="00000000" w:usb2="00000010" w:usb3="00000000" w:csb0="00020000" w:csb1="00000000"/>
  </w:font>
  <w:font w:name="仓耳与墨 W04">
    <w:panose1 w:val="02020400000000000000"/>
    <w:charset w:val="80"/>
    <w:family w:val="auto"/>
    <w:pitch w:val="default"/>
    <w:sig w:usb0="80000023" w:usb1="1801004A" w:usb2="00000010"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96E78">
    <w:pPr>
      <w:pStyle w:val="24"/>
      <w:jc w:val="center"/>
    </w:pPr>
    <w:r>
      <w:rPr>
        <w:sz w:val="16"/>
      </w:rPr>
      <w:t>Hospital Patient Referral Treatment and Administration System | Review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30C98"/>
    <w:rsid w:val="18793B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微软雅黑" w:cstheme="minorBidi"/>
      <w:sz w:val="19"/>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721</Words>
  <Characters>4730</Characters>
  <Lines>0</Lines>
  <Paragraphs>0</Paragraphs>
  <TotalTime>5</TotalTime>
  <ScaleCrop>false</ScaleCrop>
  <LinksUpToDate>false</LinksUpToDate>
  <CharactersWithSpaces>5383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2026-10-15T03:21:55Z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889AB30D7039441D93E931DFC028B39B_12</vt:lpwstr>
  </property>
</Properties>
</file>