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EC58E">
      <w:pPr>
        <w:pStyle w:val="2"/>
        <w:keepNext w:val="0"/>
        <w:keepLines w:val="0"/>
        <w:widowControl/>
        <w:suppressLineNumbers w:val="0"/>
      </w:pPr>
      <w:r>
        <w:t>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6762"/>
        <w:gridCol w:w="959"/>
      </w:tblGrid>
      <w:tr w14:paraId="7938A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374D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FB069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29A322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</w:tr>
      <w:tr w14:paraId="3DC39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675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FR-01</w:t>
            </w:r>
          </w:p>
        </w:tc>
        <w:tc>
          <w:tcPr>
            <w:tcW w:w="0" w:type="auto"/>
            <w:shd w:val="clear"/>
            <w:vAlign w:val="center"/>
          </w:tcPr>
          <w:p w14:paraId="50F35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allow Medical Secretaries to receive and record new patient referrals.</w:t>
            </w:r>
          </w:p>
        </w:tc>
        <w:tc>
          <w:tcPr>
            <w:tcW w:w="0" w:type="auto"/>
            <w:shd w:val="clear"/>
            <w:vAlign w:val="center"/>
          </w:tcPr>
          <w:p w14:paraId="404EB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2A15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D3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FR-02</w:t>
            </w:r>
          </w:p>
        </w:tc>
        <w:tc>
          <w:tcPr>
            <w:tcW w:w="0" w:type="auto"/>
            <w:shd w:val="clear"/>
            <w:vAlign w:val="center"/>
          </w:tcPr>
          <w:p w14:paraId="75C2D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allow Medical Secretaries to check whether required supporting information is complete and request missing information.</w:t>
            </w:r>
          </w:p>
        </w:tc>
        <w:tc>
          <w:tcPr>
            <w:tcW w:w="0" w:type="auto"/>
            <w:shd w:val="clear"/>
            <w:vAlign w:val="center"/>
          </w:tcPr>
          <w:p w14:paraId="53A25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3ADD2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2D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FR-03</w:t>
            </w:r>
          </w:p>
        </w:tc>
        <w:tc>
          <w:tcPr>
            <w:tcW w:w="0" w:type="auto"/>
            <w:shd w:val="clear"/>
            <w:vAlign w:val="center"/>
          </w:tcPr>
          <w:p w14:paraId="54EC1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send checked referrals to an authorised Consultant for clinical review.</w:t>
            </w:r>
          </w:p>
        </w:tc>
        <w:tc>
          <w:tcPr>
            <w:tcW w:w="0" w:type="auto"/>
            <w:shd w:val="clear"/>
            <w:vAlign w:val="center"/>
          </w:tcPr>
          <w:p w14:paraId="07C0D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46BF8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F83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FR-04</w:t>
            </w:r>
          </w:p>
        </w:tc>
        <w:tc>
          <w:tcPr>
            <w:tcW w:w="0" w:type="auto"/>
            <w:shd w:val="clear"/>
            <w:vAlign w:val="center"/>
          </w:tcPr>
          <w:p w14:paraId="4F7C9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Consultant shall be able to Accept, Reject, Request Further Information or Redirect a referral.</w:t>
            </w:r>
          </w:p>
        </w:tc>
        <w:tc>
          <w:tcPr>
            <w:tcW w:w="0" w:type="auto"/>
            <w:shd w:val="clear"/>
            <w:vAlign w:val="center"/>
          </w:tcPr>
          <w:p w14:paraId="67EAB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0F0F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EB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FR-05</w:t>
            </w:r>
          </w:p>
        </w:tc>
        <w:tc>
          <w:tcPr>
            <w:tcW w:w="0" w:type="auto"/>
            <w:shd w:val="clear"/>
            <w:vAlign w:val="center"/>
          </w:tcPr>
          <w:p w14:paraId="09825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record the referral decision, reason and decision maker.</w:t>
            </w:r>
          </w:p>
        </w:tc>
        <w:tc>
          <w:tcPr>
            <w:tcW w:w="0" w:type="auto"/>
            <w:shd w:val="clear"/>
            <w:vAlign w:val="center"/>
          </w:tcPr>
          <w:p w14:paraId="3A401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4F41D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1E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FR-06</w:t>
            </w:r>
          </w:p>
        </w:tc>
        <w:tc>
          <w:tcPr>
            <w:tcW w:w="0" w:type="auto"/>
            <w:shd w:val="clear"/>
            <w:vAlign w:val="center"/>
          </w:tcPr>
          <w:p w14:paraId="1BBBD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New Patient Appointment shall only be arranged after an authorised Consultant accepts the referral.</w:t>
            </w:r>
          </w:p>
        </w:tc>
        <w:tc>
          <w:tcPr>
            <w:tcW w:w="0" w:type="auto"/>
            <w:shd w:val="clear"/>
            <w:vAlign w:val="center"/>
          </w:tcPr>
          <w:p w14:paraId="4A40F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  <w:tr w14:paraId="0D9C4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8B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FR-07</w:t>
            </w:r>
          </w:p>
        </w:tc>
        <w:tc>
          <w:tcPr>
            <w:tcW w:w="0" w:type="auto"/>
            <w:shd w:val="clear"/>
            <w:vAlign w:val="center"/>
          </w:tcPr>
          <w:p w14:paraId="294DE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allow the Outpatient Bookings Team to receive an accepted referral and booking requirements.</w:t>
            </w:r>
          </w:p>
        </w:tc>
        <w:tc>
          <w:tcPr>
            <w:tcW w:w="0" w:type="auto"/>
            <w:shd w:val="clear"/>
            <w:vAlign w:val="center"/>
          </w:tcPr>
          <w:p w14:paraId="0060A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55F74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3E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FR-08</w:t>
            </w:r>
          </w:p>
        </w:tc>
        <w:tc>
          <w:tcPr>
            <w:tcW w:w="0" w:type="auto"/>
            <w:shd w:val="clear"/>
            <w:vAlign w:val="center"/>
          </w:tcPr>
          <w:p w14:paraId="1C3EE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use the external scheduling service to identify a suitable appointment.</w:t>
            </w:r>
          </w:p>
        </w:tc>
        <w:tc>
          <w:tcPr>
            <w:tcW w:w="0" w:type="auto"/>
            <w:shd w:val="clear"/>
            <w:vAlign w:val="center"/>
          </w:tcPr>
          <w:p w14:paraId="224B05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7EA41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74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FR-09</w:t>
            </w:r>
          </w:p>
        </w:tc>
        <w:tc>
          <w:tcPr>
            <w:tcW w:w="0" w:type="auto"/>
            <w:shd w:val="clear"/>
            <w:vAlign w:val="center"/>
          </w:tcPr>
          <w:p w14:paraId="0BAEB4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record and confirm the selected appointment.</w:t>
            </w:r>
          </w:p>
        </w:tc>
        <w:tc>
          <w:tcPr>
            <w:tcW w:w="0" w:type="auto"/>
            <w:shd w:val="clear"/>
            <w:vAlign w:val="center"/>
          </w:tcPr>
          <w:p w14:paraId="15D86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54495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89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5C8AE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patient shall normally receive an appointment letter through the external correspondence service.</w:t>
            </w:r>
          </w:p>
        </w:tc>
        <w:tc>
          <w:tcPr>
            <w:tcW w:w="0" w:type="auto"/>
            <w:shd w:val="clear"/>
            <w:vAlign w:val="center"/>
          </w:tcPr>
          <w:p w14:paraId="7EDE7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20632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0B1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FR-11</w:t>
            </w:r>
          </w:p>
        </w:tc>
        <w:tc>
          <w:tcPr>
            <w:tcW w:w="0" w:type="auto"/>
            <w:shd w:val="clear"/>
            <w:vAlign w:val="center"/>
          </w:tcPr>
          <w:p w14:paraId="79DAC7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 the appointment is within two weeks, the patient shall also be contacted by telephone.</w:t>
            </w:r>
          </w:p>
        </w:tc>
        <w:tc>
          <w:tcPr>
            <w:tcW w:w="0" w:type="auto"/>
            <w:shd w:val="clear"/>
            <w:vAlign w:val="center"/>
          </w:tcPr>
          <w:p w14:paraId="54EE6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54B11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0C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FR-12</w:t>
            </w:r>
          </w:p>
        </w:tc>
        <w:tc>
          <w:tcPr>
            <w:tcW w:w="0" w:type="auto"/>
            <w:shd w:val="clear"/>
            <w:vAlign w:val="center"/>
          </w:tcPr>
          <w:p w14:paraId="1F8E1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Every telephone contact attempt and outcome shall be recorded.</w:t>
            </w:r>
          </w:p>
        </w:tc>
        <w:tc>
          <w:tcPr>
            <w:tcW w:w="0" w:type="auto"/>
            <w:shd w:val="clear"/>
            <w:vAlign w:val="center"/>
          </w:tcPr>
          <w:p w14:paraId="20D19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0AA80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962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FR-13</w:t>
            </w:r>
          </w:p>
        </w:tc>
        <w:tc>
          <w:tcPr>
            <w:tcW w:w="0" w:type="auto"/>
            <w:shd w:val="clear"/>
            <w:vAlign w:val="center"/>
          </w:tcPr>
          <w:p w14:paraId="52852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handle no suitable slot, no answer, incorrect number and rescheduling situations.</w:t>
            </w:r>
          </w:p>
        </w:tc>
        <w:tc>
          <w:tcPr>
            <w:tcW w:w="0" w:type="auto"/>
            <w:shd w:val="clear"/>
            <w:vAlign w:val="center"/>
          </w:tcPr>
          <w:p w14:paraId="621BD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4A9B3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3D8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FR-14</w:t>
            </w:r>
          </w:p>
        </w:tc>
        <w:tc>
          <w:tcPr>
            <w:tcW w:w="0" w:type="auto"/>
            <w:shd w:val="clear"/>
            <w:vAlign w:val="center"/>
          </w:tcPr>
          <w:p w14:paraId="59C12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allow an authorised clinical professional to record patient consent and create a Treatment Booking Request.</w:t>
            </w:r>
          </w:p>
        </w:tc>
        <w:tc>
          <w:tcPr>
            <w:tcW w:w="0" w:type="auto"/>
            <w:shd w:val="clear"/>
            <w:vAlign w:val="center"/>
          </w:tcPr>
          <w:p w14:paraId="6C6C6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3259E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BA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FR-15</w:t>
            </w:r>
          </w:p>
        </w:tc>
        <w:tc>
          <w:tcPr>
            <w:tcW w:w="0" w:type="auto"/>
            <w:shd w:val="clear"/>
            <w:vAlign w:val="center"/>
          </w:tcPr>
          <w:p w14:paraId="22A75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Unauthorised or incomplete Treatment Booking Requests shall not be processed by administrative staff.</w:t>
            </w:r>
          </w:p>
        </w:tc>
        <w:tc>
          <w:tcPr>
            <w:tcW w:w="0" w:type="auto"/>
            <w:shd w:val="clear"/>
            <w:vAlign w:val="center"/>
          </w:tcPr>
          <w:p w14:paraId="57282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36420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42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FR-16</w:t>
            </w:r>
          </w:p>
        </w:tc>
        <w:tc>
          <w:tcPr>
            <w:tcW w:w="0" w:type="auto"/>
            <w:shd w:val="clear"/>
            <w:vAlign w:val="center"/>
          </w:tcPr>
          <w:p w14:paraId="03DBC1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Treatment/Chemotherapy Bookings Team shall be able to arrange treatment appointments.</w:t>
            </w:r>
          </w:p>
        </w:tc>
        <w:tc>
          <w:tcPr>
            <w:tcW w:w="0" w:type="auto"/>
            <w:shd w:val="clear"/>
            <w:vAlign w:val="center"/>
          </w:tcPr>
          <w:p w14:paraId="22545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19619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77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FR-17</w:t>
            </w:r>
          </w:p>
        </w:tc>
        <w:tc>
          <w:tcPr>
            <w:tcW w:w="0" w:type="auto"/>
            <w:shd w:val="clear"/>
            <w:vAlign w:val="center"/>
          </w:tcPr>
          <w:p w14:paraId="4B933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 an external treatment-related service is unavailable, the booking shall remain pending and duplicate appointments shall not be created.</w:t>
            </w:r>
          </w:p>
        </w:tc>
        <w:tc>
          <w:tcPr>
            <w:tcW w:w="0" w:type="auto"/>
            <w:shd w:val="clear"/>
            <w:vAlign w:val="center"/>
          </w:tcPr>
          <w:p w14:paraId="3B4DB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6140D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08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FR-18</w:t>
            </w:r>
          </w:p>
        </w:tc>
        <w:tc>
          <w:tcPr>
            <w:tcW w:w="0" w:type="auto"/>
            <w:shd w:val="clear"/>
            <w:vAlign w:val="center"/>
          </w:tcPr>
          <w:p w14:paraId="62128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Only authorised clinical professionals shall decide whether treatment continues, is delayed or is modified.</w:t>
            </w:r>
          </w:p>
        </w:tc>
        <w:tc>
          <w:tcPr>
            <w:tcW w:w="0" w:type="auto"/>
            <w:shd w:val="clear"/>
            <w:vAlign w:val="center"/>
          </w:tcPr>
          <w:p w14:paraId="1DECE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1FA54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90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FR-19</w:t>
            </w:r>
          </w:p>
        </w:tc>
        <w:tc>
          <w:tcPr>
            <w:tcW w:w="0" w:type="auto"/>
            <w:shd w:val="clear"/>
            <w:vAlign w:val="center"/>
          </w:tcPr>
          <w:p w14:paraId="1BB61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modifications shall require an authorised Treatment Modification Request.</w:t>
            </w:r>
          </w:p>
        </w:tc>
        <w:tc>
          <w:tcPr>
            <w:tcW w:w="0" w:type="auto"/>
            <w:shd w:val="clear"/>
            <w:vAlign w:val="center"/>
          </w:tcPr>
          <w:p w14:paraId="2252D7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69200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E5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FR-20</w:t>
            </w:r>
          </w:p>
        </w:tc>
        <w:tc>
          <w:tcPr>
            <w:tcW w:w="0" w:type="auto"/>
            <w:shd w:val="clear"/>
            <w:vAlign w:val="center"/>
          </w:tcPr>
          <w:p w14:paraId="1E457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determine whether treatment is hospital funded, insurer funded or requires patient payment.</w:t>
            </w:r>
          </w:p>
        </w:tc>
        <w:tc>
          <w:tcPr>
            <w:tcW w:w="0" w:type="auto"/>
            <w:shd w:val="clear"/>
            <w:vAlign w:val="center"/>
          </w:tcPr>
          <w:p w14:paraId="46A23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69090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97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FR-21</w:t>
            </w:r>
          </w:p>
        </w:tc>
        <w:tc>
          <w:tcPr>
            <w:tcW w:w="0" w:type="auto"/>
            <w:shd w:val="clear"/>
            <w:vAlign w:val="center"/>
          </w:tcPr>
          <w:p w14:paraId="3884A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securely send payment requests to an external Payment Service Provider and record the returned payment result.</w:t>
            </w:r>
          </w:p>
        </w:tc>
        <w:tc>
          <w:tcPr>
            <w:tcW w:w="0" w:type="auto"/>
            <w:shd w:val="clear"/>
            <w:vAlign w:val="center"/>
          </w:tcPr>
          <w:p w14:paraId="1BE5E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78E5C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B6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FR-22</w:t>
            </w:r>
          </w:p>
        </w:tc>
        <w:tc>
          <w:tcPr>
            <w:tcW w:w="0" w:type="auto"/>
            <w:shd w:val="clear"/>
            <w:vAlign w:val="center"/>
          </w:tcPr>
          <w:p w14:paraId="55CB0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handle successful, declined, cancelled, incomplete and duplicate-payment situations.</w:t>
            </w:r>
          </w:p>
        </w:tc>
        <w:tc>
          <w:tcPr>
            <w:tcW w:w="0" w:type="auto"/>
            <w:shd w:val="clear"/>
            <w:vAlign w:val="center"/>
          </w:tcPr>
          <w:p w14:paraId="7B6C7B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237AF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B0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FR-23</w:t>
            </w:r>
          </w:p>
        </w:tc>
        <w:tc>
          <w:tcPr>
            <w:tcW w:w="0" w:type="auto"/>
            <w:shd w:val="clear"/>
            <w:vAlign w:val="center"/>
          </w:tcPr>
          <w:p w14:paraId="2DE58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If payment may have succeeded but confirmation is lost, the transaction shall be investigated rather than automatically charged again.</w:t>
            </w:r>
          </w:p>
        </w:tc>
        <w:tc>
          <w:tcPr>
            <w:tcW w:w="0" w:type="auto"/>
            <w:shd w:val="clear"/>
            <w:vAlign w:val="center"/>
          </w:tcPr>
          <w:p w14:paraId="2021C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579E2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18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FR-24</w:t>
            </w:r>
          </w:p>
        </w:tc>
        <w:tc>
          <w:tcPr>
            <w:tcW w:w="0" w:type="auto"/>
            <w:shd w:val="clear"/>
            <w:vAlign w:val="center"/>
          </w:tcPr>
          <w:p w14:paraId="04F80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support authorised refunds and record the refund result.</w:t>
            </w:r>
          </w:p>
        </w:tc>
        <w:tc>
          <w:tcPr>
            <w:tcW w:w="0" w:type="auto"/>
            <w:shd w:val="clear"/>
            <w:vAlign w:val="center"/>
          </w:tcPr>
          <w:p w14:paraId="3C71A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5C6AD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41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FR-25</w:t>
            </w:r>
          </w:p>
        </w:tc>
        <w:tc>
          <w:tcPr>
            <w:tcW w:w="0" w:type="auto"/>
            <w:shd w:val="clear"/>
            <w:vAlign w:val="center"/>
          </w:tcPr>
          <w:p w14:paraId="3B46D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record, classify, prioritise and route patient enquiries.</w:t>
            </w:r>
          </w:p>
        </w:tc>
        <w:tc>
          <w:tcPr>
            <w:tcW w:w="0" w:type="auto"/>
            <w:shd w:val="clear"/>
            <w:vAlign w:val="center"/>
          </w:tcPr>
          <w:p w14:paraId="55DF3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06C6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C1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FR-26</w:t>
            </w:r>
          </w:p>
        </w:tc>
        <w:tc>
          <w:tcPr>
            <w:tcW w:w="0" w:type="auto"/>
            <w:shd w:val="clear"/>
            <w:vAlign w:val="center"/>
          </w:tcPr>
          <w:p w14:paraId="66E6F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Clinical enquiries shall be routed to authorised clinical staff; Call Handlers shall not provide clinical advice.</w:t>
            </w:r>
          </w:p>
        </w:tc>
        <w:tc>
          <w:tcPr>
            <w:tcW w:w="0" w:type="auto"/>
            <w:shd w:val="clear"/>
            <w:vAlign w:val="center"/>
          </w:tcPr>
          <w:p w14:paraId="627E2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0F0B8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04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FR-27</w:t>
            </w:r>
          </w:p>
        </w:tc>
        <w:tc>
          <w:tcPr>
            <w:tcW w:w="0" w:type="auto"/>
            <w:shd w:val="clear"/>
            <w:vAlign w:val="center"/>
          </w:tcPr>
          <w:p w14:paraId="5A765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allow Consultants to create and approve Clinic Letters.</w:t>
            </w:r>
          </w:p>
        </w:tc>
        <w:tc>
          <w:tcPr>
            <w:tcW w:w="0" w:type="auto"/>
            <w:shd w:val="clear"/>
            <w:vAlign w:val="center"/>
          </w:tcPr>
          <w:p w14:paraId="0451C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2CA9D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7E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FR-28</w:t>
            </w:r>
          </w:p>
        </w:tc>
        <w:tc>
          <w:tcPr>
            <w:tcW w:w="0" w:type="auto"/>
            <w:shd w:val="clear"/>
            <w:vAlign w:val="center"/>
          </w:tcPr>
          <w:p w14:paraId="64F78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Medical Secretaries shall perform administrative checks and distribute approved Clinic Letters.</w:t>
            </w:r>
          </w:p>
        </w:tc>
        <w:tc>
          <w:tcPr>
            <w:tcW w:w="0" w:type="auto"/>
            <w:shd w:val="clear"/>
            <w:vAlign w:val="center"/>
          </w:tcPr>
          <w:p w14:paraId="4ABC0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2A4BE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1B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FR-29</w:t>
            </w:r>
          </w:p>
        </w:tc>
        <w:tc>
          <w:tcPr>
            <w:tcW w:w="0" w:type="auto"/>
            <w:shd w:val="clear"/>
            <w:vAlign w:val="center"/>
          </w:tcPr>
          <w:p w14:paraId="30F0F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Clinic Letters remaining incomplete or unapproved after seven days shall be treated as delayed.</w:t>
            </w:r>
          </w:p>
        </w:tc>
        <w:tc>
          <w:tcPr>
            <w:tcW w:w="0" w:type="auto"/>
            <w:shd w:val="clear"/>
            <w:vAlign w:val="center"/>
          </w:tcPr>
          <w:p w14:paraId="0E52D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31446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A6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FR-30</w:t>
            </w:r>
          </w:p>
        </w:tc>
        <w:tc>
          <w:tcPr>
            <w:tcW w:w="0" w:type="auto"/>
            <w:shd w:val="clear"/>
            <w:vAlign w:val="center"/>
          </w:tcPr>
          <w:p w14:paraId="77007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generate weekly reminders for outstanding Clinic Letters.</w:t>
            </w:r>
          </w:p>
        </w:tc>
        <w:tc>
          <w:tcPr>
            <w:tcW w:w="0" w:type="auto"/>
            <w:shd w:val="clear"/>
            <w:vAlign w:val="center"/>
          </w:tcPr>
          <w:p w14:paraId="73C36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0CC78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42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FR-31</w:t>
            </w:r>
          </w:p>
        </w:tc>
        <w:tc>
          <w:tcPr>
            <w:tcW w:w="0" w:type="auto"/>
            <w:shd w:val="clear"/>
            <w:vAlign w:val="center"/>
          </w:tcPr>
          <w:p w14:paraId="2E532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Outstanding Clinic Letters shall be escalated after one month and again after three months.</w:t>
            </w:r>
          </w:p>
        </w:tc>
        <w:tc>
          <w:tcPr>
            <w:tcW w:w="0" w:type="auto"/>
            <w:shd w:val="clear"/>
            <w:vAlign w:val="center"/>
          </w:tcPr>
          <w:p w14:paraId="2B855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06817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69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FR-32</w:t>
            </w:r>
          </w:p>
        </w:tc>
        <w:tc>
          <w:tcPr>
            <w:tcW w:w="0" w:type="auto"/>
            <w:shd w:val="clear"/>
            <w:vAlign w:val="center"/>
          </w:tcPr>
          <w:p w14:paraId="494EE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Reminders shall stop when the Clinic Letter is completed.</w:t>
            </w:r>
          </w:p>
        </w:tc>
        <w:tc>
          <w:tcPr>
            <w:tcW w:w="0" w:type="auto"/>
            <w:shd w:val="clear"/>
            <w:vAlign w:val="center"/>
          </w:tcPr>
          <w:p w14:paraId="1EE9D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</w:tbl>
    <w:p w14:paraId="324E9F15">
      <w:pPr>
        <w:pStyle w:val="2"/>
        <w:keepNext w:val="0"/>
        <w:keepLines w:val="0"/>
        <w:widowControl/>
        <w:suppressLineNumbers w:val="0"/>
      </w:pPr>
      <w:r>
        <w:t>Non-Functional Requirements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7601"/>
      </w:tblGrid>
      <w:tr w14:paraId="6983F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43CA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6A0FD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7906D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BA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NFR-01</w:t>
            </w:r>
          </w:p>
        </w:tc>
        <w:tc>
          <w:tcPr>
            <w:tcW w:w="0" w:type="auto"/>
            <w:shd w:val="clear"/>
            <w:vAlign w:val="center"/>
          </w:tcPr>
          <w:p w14:paraId="17688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Users shall be authenticated before accessing protected information.</w:t>
            </w:r>
          </w:p>
        </w:tc>
      </w:tr>
      <w:tr w14:paraId="0D875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25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NFR-02</w:t>
            </w:r>
          </w:p>
        </w:tc>
        <w:tc>
          <w:tcPr>
            <w:tcW w:w="0" w:type="auto"/>
            <w:shd w:val="clear"/>
            <w:vAlign w:val="center"/>
          </w:tcPr>
          <w:p w14:paraId="2C3D9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apply role-based access control.</w:t>
            </w:r>
          </w:p>
        </w:tc>
      </w:tr>
      <w:tr w14:paraId="4B2D3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9C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NFR-03</w:t>
            </w:r>
          </w:p>
        </w:tc>
        <w:tc>
          <w:tcPr>
            <w:tcW w:w="0" w:type="auto"/>
            <w:shd w:val="clear"/>
            <w:vAlign w:val="center"/>
          </w:tcPr>
          <w:p w14:paraId="3BCEE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Staff shall only access information required for their role.</w:t>
            </w:r>
          </w:p>
        </w:tc>
      </w:tr>
      <w:tr w14:paraId="4ECD4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12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NFR-04</w:t>
            </w:r>
          </w:p>
        </w:tc>
        <w:tc>
          <w:tcPr>
            <w:tcW w:w="0" w:type="auto"/>
            <w:shd w:val="clear"/>
            <w:vAlign w:val="center"/>
          </w:tcPr>
          <w:p w14:paraId="7D5111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Information exchanged with external services shall be protected.</w:t>
            </w:r>
          </w:p>
        </w:tc>
      </w:tr>
      <w:tr w14:paraId="07526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68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NFR-05</w:t>
            </w:r>
          </w:p>
        </w:tc>
        <w:tc>
          <w:tcPr>
            <w:tcW w:w="0" w:type="auto"/>
            <w:shd w:val="clear"/>
            <w:vAlign w:val="center"/>
          </w:tcPr>
          <w:p w14:paraId="53E8F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Complete patient card information shall not be stored.</w:t>
            </w:r>
          </w:p>
        </w:tc>
      </w:tr>
      <w:tr w14:paraId="07268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3F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NFR-06</w:t>
            </w:r>
          </w:p>
        </w:tc>
        <w:tc>
          <w:tcPr>
            <w:tcW w:w="0" w:type="auto"/>
            <w:shd w:val="clear"/>
            <w:vAlign w:val="center"/>
          </w:tcPr>
          <w:p w14:paraId="5AF5E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Significant actions shall be recorded in an audit trail.</w:t>
            </w:r>
          </w:p>
        </w:tc>
      </w:tr>
      <w:tr w14:paraId="1E3C4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2C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NFR-07</w:t>
            </w:r>
          </w:p>
        </w:tc>
        <w:tc>
          <w:tcPr>
            <w:tcW w:w="0" w:type="auto"/>
            <w:shd w:val="clear"/>
            <w:vAlign w:val="center"/>
          </w:tcPr>
          <w:p w14:paraId="2F206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Audit records shall contain the user, date, time and nature of the action.</w:t>
            </w:r>
          </w:p>
        </w:tc>
      </w:tr>
      <w:tr w14:paraId="48A9A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36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NFR-08</w:t>
            </w:r>
          </w:p>
        </w:tc>
        <w:tc>
          <w:tcPr>
            <w:tcW w:w="0" w:type="auto"/>
            <w:shd w:val="clear"/>
            <w:vAlign w:val="center"/>
          </w:tcPr>
          <w:p w14:paraId="26A06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Ordinary users shall not be able to edit audit records.</w:t>
            </w:r>
          </w:p>
        </w:tc>
      </w:tr>
      <w:tr w14:paraId="29673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F7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NFR-09</w:t>
            </w:r>
          </w:p>
        </w:tc>
        <w:tc>
          <w:tcPr>
            <w:tcW w:w="0" w:type="auto"/>
            <w:shd w:val="clear"/>
            <w:vAlign w:val="center"/>
          </w:tcPr>
          <w:p w14:paraId="4F5336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maintain accurate patient identification information.</w:t>
            </w:r>
          </w:p>
        </w:tc>
      </w:tr>
      <w:tr w14:paraId="2AD46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8D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NFR-10</w:t>
            </w:r>
          </w:p>
        </w:tc>
        <w:tc>
          <w:tcPr>
            <w:tcW w:w="0" w:type="auto"/>
            <w:shd w:val="clear"/>
            <w:vAlign w:val="center"/>
          </w:tcPr>
          <w:p w14:paraId="398CB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remain sufficiently available for time-sensitive hospital work.</w:t>
            </w:r>
          </w:p>
        </w:tc>
      </w:tr>
      <w:tr w14:paraId="5C790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5F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NFR-11</w:t>
            </w:r>
          </w:p>
        </w:tc>
        <w:tc>
          <w:tcPr>
            <w:tcW w:w="0" w:type="auto"/>
            <w:shd w:val="clear"/>
            <w:vAlign w:val="center"/>
          </w:tcPr>
          <w:p w14:paraId="4B006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 system shall support accessible communication formats and translation/representative support where required.</w:t>
            </w:r>
          </w:p>
        </w:tc>
      </w:tr>
    </w:tbl>
    <w:p w14:paraId="77426EE6">
      <w:pPr>
        <w:pStyle w:val="2"/>
        <w:keepNext w:val="0"/>
        <w:keepLines w:val="0"/>
        <w:widowControl/>
        <w:suppressLineNumbers w:val="0"/>
      </w:pPr>
      <w:r>
        <w:t>Requirements Requiring Clarification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7721"/>
      </w:tblGrid>
      <w:tr w14:paraId="706CE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32A1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86BB9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 Issue</w:t>
            </w:r>
          </w:p>
        </w:tc>
      </w:tr>
      <w:tr w14:paraId="05A3A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A1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AQ-01</w:t>
            </w:r>
          </w:p>
        </w:tc>
        <w:tc>
          <w:tcPr>
            <w:tcW w:w="0" w:type="auto"/>
            <w:shd w:val="clear"/>
            <w:vAlign w:val="center"/>
          </w:tcPr>
          <w:p w14:paraId="18257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 rules for determining an urgent referral are not defined.</w:t>
            </w:r>
          </w:p>
        </w:tc>
      </w:tr>
      <w:tr w14:paraId="29B8A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7C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AQ-02</w:t>
            </w:r>
          </w:p>
        </w:tc>
        <w:tc>
          <w:tcPr>
            <w:tcW w:w="0" w:type="auto"/>
            <w:shd w:val="clear"/>
            <w:vAlign w:val="center"/>
          </w:tcPr>
          <w:p w14:paraId="3E139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 rules for determining an urgent clinical enquiry are not defined.</w:t>
            </w:r>
          </w:p>
        </w:tc>
      </w:tr>
      <w:tr w14:paraId="1CCEF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D44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AQ-03</w:t>
            </w:r>
          </w:p>
        </w:tc>
        <w:tc>
          <w:tcPr>
            <w:tcW w:w="0" w:type="auto"/>
            <w:shd w:val="clear"/>
            <w:vAlign w:val="center"/>
          </w:tcPr>
          <w:p w14:paraId="16A35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Number of telephone contact attempts before escalation is not specified.</w:t>
            </w:r>
          </w:p>
        </w:tc>
      </w:tr>
      <w:tr w14:paraId="7796F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B04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AQ-04</w:t>
            </w:r>
          </w:p>
        </w:tc>
        <w:tc>
          <w:tcPr>
            <w:tcW w:w="0" w:type="auto"/>
            <w:shd w:val="clear"/>
            <w:vAlign w:val="center"/>
          </w:tcPr>
          <w:p w14:paraId="7558EC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 retry/timeout behaviour for unavailable external services is not specified.</w:t>
            </w:r>
          </w:p>
        </w:tc>
      </w:tr>
      <w:tr w14:paraId="7E5D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850F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AQ-05</w:t>
            </w:r>
          </w:p>
        </w:tc>
        <w:tc>
          <w:tcPr>
            <w:tcW w:w="0" w:type="auto"/>
            <w:shd w:val="clear"/>
            <w:vAlign w:val="center"/>
          </w:tcPr>
          <w:p w14:paraId="25B5E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Exact actions after cancellation, decline or failure to attend require clarification.</w:t>
            </w:r>
          </w:p>
        </w:tc>
      </w:tr>
    </w:tbl>
    <w:p w14:paraId="04F35F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E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2026-09-16T04:09:39Z</dcterms:created>
  <dc:creator>huanxi</dc:creator>
  <cp:lastModifiedBy>going</cp:lastModifiedBy>
  <dcterms:modified xsi:type="dcterms:W3CDTF">2026-09-16T04:10:39Z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eyJoZGlkIjoiZmIwNTdjZmVlNzk5NDhkMjYwN2U5MzU5ZGE4Y2U3YTQiLCJ1c2VySWQiOiIxMTY5MTMyODIxIn0=</vt:lpwstr>
  </property>
  <property fmtid="{D5CDD505-2E9C-101B-9397-08002B2CF9AE}" pid="4" name="ICV">
    <vt:lpwstr>F57F76005E9D41059B2954DB4B53B7C3_12</vt:lpwstr>
  </property>
</Properties>
</file>