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单细胞转录组数据分析流程复现指南</w:t>
      </w:r>
    </w:p>
    <w:p>
      <w:r>
        <w:t>参考文献: Kimura K, Subramanian A, Yin Z, Khalinezhad A et al. Immune checkpoint TIM-3 regulates microglia and Alzheimer's disease. Nature 2025 May;641(8063):718-731.</w:t>
      </w:r>
    </w:p>
    <w:p>
      <w:r>
        <w:t>数据链接: https://www.ncbi.nlm.nih.gov/geo/query/acc.cgi?acc=GSE267764</w:t>
      </w:r>
    </w:p>
    <w:p>
      <w:r>
        <w:t>================================================================================</w:t>
      </w:r>
    </w:p>
    <w:p>
      <w:pPr>
        <w:pStyle w:val="Heading1"/>
      </w:pPr>
      <w:r>
        <w:t>1. 下载数据并处理</w:t>
      </w:r>
    </w:p>
    <w:p>
      <w:r>
        <w:t>处理下载数据，匹配Read10X格式</w:t>
      </w:r>
    </w:p>
    <w:p>
      <w:r>
        <w:rPr>
          <w:rFonts w:ascii="Consolas" w:hAnsi="Consolas"/>
          <w:sz w:val="20"/>
        </w:rPr>
        <w:t>fs=list.files('./data/',pattern='GSM')</w:t>
        <w:br/>
        <w:t>samples&lt;-substr(fs,1,10)</w:t>
        <w:br/>
        <w:t>lapply(unique(samples), function(X){</w:t>
        <w:br/>
        <w:t>y=fs[grepl(x,fs)]</w:t>
        <w:br/>
        <w:t>folder=paste0('./data/',paste(strsplit(y[1],split='_')[[1]][1:2],collapse='_'))</w:t>
        <w:br/>
        <w:t>#创建文件夹</w:t>
        <w:br/>
        <w:t>dir.create(folder,recursive=T)</w:t>
        <w:br/>
        <w:t>#重命名子文件夹并移动到相应的文件夹中</w:t>
        <w:br/>
        <w:t>file.rename(paste0('./data/',y[1]),file.path(folder,"barcodes.tsv.gz"))</w:t>
        <w:br/>
        <w:t>file.rename(paste0('./data/',y[2]),file.path(folder,"features.tsv.gz"))</w:t>
        <w:br/>
        <w:t>file.rename(paste0('./data/',y[3]),file.path(folder,"matrix.mtx.gz"))</w:t>
      </w:r>
    </w:p>
    <w:p>
      <w:r>
        <w:t>============================================================</w:t>
      </w:r>
    </w:p>
    <w:p>
      <w:pPr>
        <w:pStyle w:val="Heading1"/>
      </w:pPr>
      <w:r>
        <w:t>3. 质控</w:t>
      </w:r>
    </w:p>
    <w:p>
      <w:r>
        <w:t>根据文献进行质控</w:t>
      </w:r>
    </w:p>
    <w:p>
      <w:r>
        <w:t>Samples were merged into a single Seurat object. Cells with gene count (nFeature_RNA)&lt;200, UMI count (nCount_RNA)&lt;1,000 and proportion of mitochondrial genes(percent.mt)≥80% were removed.</w:t>
      </w:r>
    </w:p>
    <w:p>
      <w:r>
        <w:t>After quality control, we obtained 7,562-13,008 cells per sample, with a total of 43,282 cells(20,667 5xFAD and 22,615 Havcr2KO:5xFAD)</w:t>
      </w:r>
    </w:p>
    <w:p>
      <w:r>
        <w:rPr>
          <w:rFonts w:ascii="Consolas" w:hAnsi="Consolas"/>
          <w:sz w:val="20"/>
        </w:rPr>
        <w:t>scRNAseq_cortex[["percent.mt"]] &lt;- PercentageFeatureSet(scRNAseq_cortex, pattern="mt-")</w:t>
        <w:br/>
        <w:t>VlnPlot(scRNAseq_cortex, features=c("nFeature_RNA","nCount_RNA","percent.mt"), ncol=3)</w:t>
        <w:br/>
        <w:t>scRNAseq_cortex &lt;- subset(scRNAseq_cortex, subset=nCount_RNA&gt;=1000 &amp; nFeature_RNA&gt;=200 &amp; percent.mt&lt;80)</w:t>
        <w:br/>
        <w:t>scRNAseq_cortex</w:t>
        <w:br/>
        <w:t>table(scRNAseq_cortex$condition)</w:t>
      </w:r>
    </w:p>
    <w:p>
      <w:r>
        <w:t>质控后细胞数目与分组与原文一致。</w:t>
      </w:r>
    </w:p>
    <w:p>
      <w:r>
        <w:t>============================================================</w:t>
      </w:r>
    </w:p>
    <w:p>
      <w:pPr>
        <w:pStyle w:val="Heading1"/>
      </w:pPr>
      <w:r>
        <w:t>4. 处理scRNA-seq数据</w:t>
      </w:r>
    </w:p>
    <w:p>
      <w:r>
        <w:t>首先定义处理scRNA-seq函数</w:t>
      </w:r>
    </w:p>
    <w:p>
      <w:r>
        <w:rPr>
          <w:rFonts w:ascii="Consolas" w:hAnsi="Consolas"/>
          <w:sz w:val="20"/>
        </w:rPr>
        <w:t>scrna_process&lt;-function(seurat_obj, npc, res, normalize=TRUE, run_harmony=TRUE) {</w:t>
        <w:br/>
        <w:t>if(normalize){</w:t>
        <w:br/>
        <w:t>seurat_obj&lt;-NormalizeData(seurat_obj)</w:t>
        <w:br/>
        <w:t>}</w:t>
        <w:br/>
        <w:t>seurat_obj&lt;-FindVariableFeatures(seurat_obj, selection.method="vst",nfeatures=2000)</w:t>
        <w:br/>
        <w:t>seurat_obj&lt;-ScaleData(seurat_obj, features=VariableFeatures(seurat_obj))%&gt;%</w:t>
        <w:br/>
        <w:t>RunPCA(features=VariableFeatures(seurat_obj))</w:t>
        <w:br/>
        <w:t>if(run_harmony) {</w:t>
        <w:br/>
        <w:t>seurat_obj&lt;-RunHarmony(seurat_obj,group.by.vars="orig.ident")</w:t>
        <w:br/>
        <w:t>seurat_obj&lt;-RunUMAP(seurat_obj, reduction="harmony", dims=1:npc)</w:t>
        <w:br/>
        <w:t>seurat_obj&lt;-FindNeighbors(seurat_obj, reduction="harmony", dims=1:npc)</w:t>
        <w:br/>
        <w:t>seurat_obj&lt;-FindClusters(seurat_obj, resolution=res)</w:t>
        <w:br/>
        <w:t>}</w:t>
        <w:br/>
        <w:t>else {</w:t>
        <w:br/>
        <w:t>seurat_obj&lt;-seurat_obj%&gt;%</w:t>
        <w:br/>
        <w:t>FindNeighbors(dims=1:npc) %&gt;%</w:t>
        <w:br/>
        <w:t>FindClusters(resolution=res) %&gt;%</w:t>
        <w:br/>
        <w:t>RunUMAP(dims=1:npc)</w:t>
        <w:br/>
        <w:t>}</w:t>
        <w:br/>
        <w:t>return(seurat_obj)</w:t>
        <w:br/>
        <w:t>}</w:t>
      </w:r>
    </w:p>
    <w:p>
      <w:r>
        <w:t>处理单细胞数据</w:t>
      </w:r>
    </w:p>
    <w:p>
      <w:r>
        <w:rPr>
          <w:rFonts w:ascii="Consolas" w:hAnsi="Consolas"/>
          <w:sz w:val="20"/>
        </w:rPr>
        <w:t>SCRNAseq_cortex&lt;-scrna_process(scRNAseq_cortex, npc=50, res=0.4)</w:t>
        <w:br/>
        <w:t>DimPlot(scRNAseq_cortex, label=T)</w:t>
      </w:r>
    </w:p>
    <w:p>
      <w:r>
        <w:t>去除低质量Cluster6</w:t>
      </w:r>
    </w:p>
    <w:p>
      <w:r>
        <w:t>这里的Cluster6，也就是离群的那一簇是低质量，在后面的分析中可以去除；</w:t>
      </w:r>
    </w:p>
    <w:p>
      <w:r>
        <w:rPr>
          <w:rFonts w:ascii="Consolas" w:hAnsi="Consolas"/>
          <w:sz w:val="20"/>
        </w:rPr>
        <w:t>scRNAseq_cortex&lt;-subset(scRNAseq_cortex,seurat_clusters %in% c(0:5,7:10))</w:t>
        <w:br/>
        <w:t>DimPlot(scRNAseq_cortex, label=T)</w:t>
      </w:r>
    </w:p>
    <w:p>
      <w:r>
        <w:t>============================================================</w:t>
      </w:r>
    </w:p>
    <w:p>
      <w:pPr>
        <w:pStyle w:val="Heading1"/>
      </w:pPr>
      <w:r>
        <w:t>5. 根据文献图片进行细胞注释</w:t>
      </w:r>
    </w:p>
    <w:p>
      <w:r>
        <w:t>这里就不根据marker基因进行手工注释了，直接参考文献里简单注释一下；</w:t>
      </w:r>
    </w:p>
    <w:p>
      <w:r>
        <w:rPr>
          <w:rFonts w:ascii="Consolas" w:hAnsi="Consolas"/>
          <w:sz w:val="20"/>
        </w:rPr>
        <w:t>cluster_celltype&lt;-c("0"="HMG",</w:t>
        <w:br/>
        <w:t>"1"="HMG",</w:t>
        <w:br/>
        <w:t>"2"="MGnD 0",</w:t>
        <w:br/>
        <w:t>"3"="MGnD1",</w:t>
        <w:br/>
        <w:t>"4"="CC HMG1",</w:t>
        <w:br/>
        <w:t>"5"="CC HMG2",</w:t>
        <w:br/>
        <w:t>"7"="IFN HMG",</w:t>
        <w:br/>
        <w:t>"8"="IFN HMGD",</w:t>
        <w:br/>
        <w:t>"9"="CC MGnD",</w:t>
        <w:br/>
        <w:t>"10"="MGnD 2")</w:t>
        <w:br/>
        <w:t>scRNAseq_cortex$cell_type&lt;-unname(cluster_celltype[scRNAseq_cortex$seurat_clusters])</w:t>
        <w:br/>
        <w:t>col&lt;-c("dodgerblue2","skyblue2","green4","#6A3D9A","black","#FF7F00","#E31A1C","#FB9A99")</w:t>
        <w:br/>
        <w:t>DimPlot(scRNAseq_cortex,group.by='cell_type',cols= col)</w:t>
      </w:r>
    </w:p>
    <w:p>
      <w:r>
        <w:t>UMAP图相对来说比较一致了，细胞注释这里我就偷懒了，大家有兴趣可以认真去手工注释下；</w:t>
      </w:r>
    </w:p>
    <w:p>
      <w:r>
        <w:t>============================================================</w:t>
      </w:r>
    </w:p>
    <w:p>
      <w:pPr>
        <w:pStyle w:val="Heading1"/>
      </w:pPr>
      <w:r>
        <w:t>6. 去双细胞</w:t>
      </w:r>
    </w:p>
    <w:p>
      <w:r>
        <w:t>双细胞一般在UMAP的边缘，如果分析出的双细胞并不在边缘，就不需要去除；</w:t>
      </w:r>
    </w:p>
    <w:p>
      <w:r>
        <w:t>一般处理单细胞数据里可以做下双细胞，如果效果好(双细胞在边缘)就去除，效果不好就不处理；</w:t>
      </w:r>
    </w:p>
    <w:p>
      <w:r>
        <w:rPr>
          <w:rFonts w:ascii="Consolas" w:hAnsi="Consolas"/>
          <w:sz w:val="20"/>
        </w:rPr>
        <w:t>#提取10000个细胞来演示DoubletFinder去双细胞</w:t>
        <w:br/>
        <w:t>n_cells&lt;-10000</w:t>
        <w:br/>
        <w:t>sampled_cells&lt;-sample(colnames(scRNAseq_cortex), size=n_cells)</w:t>
        <w:br/>
        <w:t>sc_sub_cortex&lt;-scRNAseq_cortex[,sampled_cells]</w:t>
        <w:br/>
        <w:t>table(sc_sub_cortex$condition)</w:t>
      </w:r>
    </w:p>
    <w:p>
      <w:r>
        <w:t>============================================================</w:t>
      </w:r>
    </w:p>
    <w:p>
      <w:pPr>
        <w:pStyle w:val="Heading1"/>
      </w:pPr>
      <w:r>
        <w:t>7. 差异表达分析</w:t>
      </w:r>
    </w:p>
    <w:p>
      <w:r>
        <w:t>对每个细胞类型的不同condition做差异分析</w:t>
      </w:r>
    </w:p>
    <w:p>
      <w:r>
        <w:rPr>
          <w:rFonts w:ascii="Consolas" w:hAnsi="Consolas"/>
          <w:sz w:val="20"/>
        </w:rPr>
        <w:t>scrna_DGE&lt;-function(SeuratData, logfc.threshold=0.25, min.pct=0.3, test.use="wilcox"){</w:t>
        <w:br/>
        <w:t>cell_type&lt;-levels(SeuratData$cell_type)</w:t>
        <w:br/>
        <w:t>results &lt;-mclapply(cell_type,function(x){</w:t>
        <w:br/>
        <w:t>res&lt;-FindMarkers(subset(SeuratData, cell_type==x),</w:t>
        <w:br/>
        <w:t>ident.1="cko", ident.2="control", group.by="condition",</w:t>
        <w:br/>
        <w:t>logfc.threshold=logfc.threshold, min.pct=min.pct, test.use=test.use)</w:t>
        <w:br/>
        <w:t>if(nrow(res)==0) { return(NULL)}</w:t>
        <w:br/>
        <w:t>else{ res%&gt;%rownames_to_column("gene") %&gt;%</w:t>
        <w:br/>
        <w:t>mutate(direction=ifelse(avg_log2FC&gt;0,"up","down"))%&gt;%</w:t>
        <w:br/>
        <w:t>mutate(direction=factor(direction, c("up","down")))%&gt;%</w:t>
        <w:br/>
        <w:t>mutate(FDR=p.adjust(p_val, method="BH")) %&gt;%</w:t>
        <w:br/>
        <w:t>mutate(Celltype=rep(x,nrow(res)))</w:t>
        <w:br/>
        <w:t>}</w:t>
        <w:br/>
        <w:t>})</w:t>
        <w:br/>
        <w:t>names(results) &lt;-cell_type</w:t>
        <w:br/>
        <w:t>return(results)</w:t>
        <w:br/>
        <w:t>}</w:t>
      </w:r>
    </w:p>
    <w:p>
      <w:r>
        <w:rPr>
          <w:rFonts w:ascii="Consolas" w:hAnsi="Consolas"/>
          <w:sz w:val="20"/>
        </w:rPr>
        <w:t>##差异分析</w:t>
        <w:br/>
        <w:t>SCRNAseq_DGE&lt;-scrna_DGE(SCRNAseq_cortex)</w:t>
        <w:br/>
        <w:t>#合并数据框</w:t>
        <w:br/>
        <w:t>combined_DGE&lt;-do.call(rbind, SCRNAseq_DGE)</w:t>
        <w:br/>
        <w:t>#筛选显著差异基因</w:t>
        <w:br/>
        <w:t>combined_DGE_filter&lt;-combined_DGE%&gt;%filter(p_val_adj&lt;0.05&amp;abs(avg_log2FC)&gt;0.25&amp;pct.1&gt;0.3)</w:t>
      </w:r>
    </w:p>
    <w:p>
      <w:r>
        <w:t>============================================================</w:t>
      </w:r>
    </w:p>
    <w:p>
      <w:pPr>
        <w:pStyle w:val="Heading1"/>
      </w:pPr>
      <w:r>
        <w:t>8. 火山图绘制</w:t>
      </w:r>
    </w:p>
    <w:p>
      <w:r>
        <w:t>KO的HMG与control的CC HMG1差异分析</w:t>
      </w:r>
    </w:p>
    <w:p>
      <w:r>
        <w:rPr>
          <w:rFonts w:ascii="Consolas" w:hAnsi="Consolas"/>
          <w:sz w:val="20"/>
        </w:rPr>
        <w:t>scRNAseq_cortex.wt&lt;-subset(scRNAseq_cortex, subset=cell_type%in%c("CC HMG1") &amp;condition=="control")</w:t>
        <w:br/>
        <w:t>scRNAseq_cortex.ko&lt;-subset(scRNAseq_cortex, subset=cell_type%in%c("HMG") &amp;condition=="cko")</w:t>
        <w:br/>
        <w:t>scRNAseq_cortex.HMG&lt;-merge(scRNAseq_cortex.wt,scRNAseq_cortex.ko)</w:t>
        <w:br/>
        <w:t>HMG_DEG&lt;-FindMarkers(JoinLayers(scRNAseq_cortex.HMG), ident.1="HMG",ident.2="CC HMG1",test.use="wilcox")</w:t>
        <w:br/>
        <w:br/>
        <w:t>#画火山图</w:t>
        <w:br/>
        <w:t>HMG_DEG&lt;-HMG_DEG%&gt;%</w:t>
        <w:br/>
        <w:t>mutate(Difference=pct.1-pct.2) %&gt;%</w:t>
        <w:br/>
        <w:t>rownames_to_column("gene")</w:t>
        <w:br/>
        <w:t>log2FC=1</w:t>
        <w:br/>
        <w:t>padj=0.05</w:t>
        <w:br/>
        <w:t>HMG_DEG$threshold="ns";</w:t>
        <w:br/>
        <w:t>HMG_DEG[which(HMG_DEG$avg_log2FC &gt;log2FC&amp;HMG_DEG$p_val_adj&lt;padj),]$threshold="up";</w:t>
        <w:br/>
        <w:t>HMG_DEG[which(HMG_DEG$avg_log2FC&lt;(-log2FC) &amp;HMG_DEG$p_val_adj&lt;padj),]$threshold="down";</w:t>
        <w:br/>
        <w:t>HMG_DEG$threshold=factor(HMG_DEG$threshold, levels=c("down","ns","up"))</w:t>
        <w:br/>
        <w:t>HMG_DEG&lt;-HMG_DEG[order(HMG_DEG$p_val_adj, decreasing=TRUE),]</w:t>
        <w:br/>
        <w:br/>
        <w:t>#绘图</w:t>
        <w:br/>
        <w:t>p&lt;-ggplot(HMG_DEG,aes(x=Difference, y=avg_log2FC,color=threshold)) +</w:t>
        <w:br/>
        <w:t>geom_point(size=1, alpha=0.3)+</w:t>
        <w:br/>
        <w:t>geom_point(color="red", size=1.5,data=subset(HMG_DEG,gene%in%c("Crybb1","Camk2n1","Ecscr","Il7r","Serpinf1")))+</w:t>
        <w:br/>
        <w:t>geom_point(color="blue",size=1.5,data=subset(HMG_DEG,gene%in%c("Havcr2","Lpl","Ccl4","Cst7","Ccl3")))+</w:t>
        <w:br/>
        <w:t>geom_vline(xintercept=0.0,linetype=2)+</w:t>
        <w:br/>
        <w:t>geom_hline(yintercept=0,linetype=2)+</w:t>
        <w:br/>
        <w:t>scale_color_manual(values=c("#5fb9ff","grey","#de7a60"))+</w:t>
        <w:br/>
        <w:t>geom_label_repel(data=subset(HMG_DEG,gene%in%c("Crybb1","Camk2n1","Ecscr","Il7r","Serpinf1")),</w:t>
        <w:br/>
        <w:t>aes(label=gene),</w:t>
        <w:br/>
        <w:t>color="#b20000",</w:t>
        <w:br/>
        <w:t>label.padding=0.1,</w:t>
        <w:br/>
        <w:t>box.padding=0.35,</w:t>
        <w:br/>
        <w:t>max.overlaps=Inf,</w:t>
        <w:br/>
        <w:t>segment.size=0.4,</w:t>
        <w:br/>
        <w:t>min.segment.length=0,</w:t>
        <w:br/>
        <w:t>size=4)+</w:t>
        <w:br/>
        <w:t>geom_label_repel(data=subset(HMG_DEG,gene%in%c("Havcr2","Lpl","Ccl4","Cst7","Ccl3")),</w:t>
        <w:br/>
        <w:t>aes(label=gene),</w:t>
        <w:br/>
        <w:t>color="#0000b2",</w:t>
        <w:br/>
        <w:t>label.padding=0.1,</w:t>
        <w:br/>
        <w:t>box.padding=0.35,</w:t>
        <w:br/>
        <w:t>max.overlaps=Inf,</w:t>
        <w:br/>
        <w:t>segment.size=0.4,</w:t>
        <w:br/>
        <w:t>min.segment.length=0,</w:t>
        <w:br/>
        <w:t>size=4)+theme_classic()</w:t>
        <w:br/>
        <w:t>ggsave("DEG_of_HMG.pdf", width=5, height=5)</w:t>
      </w:r>
    </w:p>
    <w:p>
      <w:r>
        <w:t>============================================================</w:t>
      </w:r>
    </w:p>
    <w:p>
      <w:r>
        <w:t>本次分享通过这篇最新的Nature文献展示了单细胞数据分析的常规流程，赶快用起来吧~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