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ackground w:color="fefefe">
    <v:background id="_x0000_s1025" filled="t" fillcolor="#fefefe"/>
  </w:background>
  <w:body>
    <w:p>
      <w:pPr>
        <w:pStyle w:val="Heading1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2" w:after="302" w:line="450" w:lineRule="atLeast"/>
        <w:ind w:left="180" w:right="180"/>
        <w:rPr>
          <w:b w:val="0"/>
          <w:bCs w:val="0"/>
          <w:color w:val="111111"/>
          <w:sz w:val="45"/>
          <w:szCs w:val="45"/>
        </w:rPr>
      </w:pPr>
      <w:hyperlink w:anchor="a-fuel-consumption-study-of-statas-auto-dataset" w:history="1">
        <w:bookmarkStart w:id="0" w:name="a-fuel-consumption-study-of-statas-auto-"/>
        <w:r>
          <w:rPr>
            <w:rStyle w:val="a"/>
            <w:rFonts w:ascii="Georgia" w:eastAsia="Georgia" w:hAnsi="Georgia" w:cs="Georgia"/>
            <w:i w:val="0"/>
            <w:sz w:val="45"/>
            <w:szCs w:val="45"/>
          </w:rPr>
          <w:t>A fuel consumption study of Stata’s auto dataset</w:t>
        </w:r>
      </w:hyperlink>
      <w:bookmarkEnd w:id="0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We conduct a study of the fuel consumption of cars in Stata’s auto dataset.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sysuse auto, clear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(1978 Automobile Data)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erform-data-transformation" w:history="1">
        <w:bookmarkStart w:id="1" w:name="perform-data-transformation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Perform data transformation</w:t>
        </w:r>
      </w:hyperlink>
      <w:bookmarkEnd w:id="1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We generate a variable, </w:t>
      </w:r>
      <w:r>
        <w:rPr>
          <w:rStyle w:val="strong"/>
        </w:rPr>
        <w:t>fuel</w:t>
      </w:r>
      <w:r>
        <w:t>, that measures the fuel consumption rate in the unit of Gallons per 100 Miles.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generate fuel = 100/mpg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label variable fuel "Fuel consumption (Gallons per 100 Miles)"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Gallons per 100 Mile is a better measurement than Miles per Gallon. Going from a 10 Miles per Gallon car to a 20 Miles per Gallon car saves 5 Gallons per 100 Miles when Miles per Gallon increases 10. Going from a 20 Miles per Gallon car to a 40 Miles per Gallon car </w:t>
      </w:r>
      <w:r>
        <w:rPr>
          <w:i/>
          <w:iCs/>
        </w:rPr>
        <w:t>only</w:t>
      </w:r>
      <w:r>
        <w:t xml:space="preserve"> saves 2.5 Gallons per 100 Miles when Miles per Gallon increases 20.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examine-the-variables" w:history="1">
        <w:bookmarkStart w:id="2" w:name="examine-the-variables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Examine the variables</w:t>
        </w:r>
      </w:hyperlink>
      <w:bookmarkEnd w:id="2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We examine variables for possible errors in the data.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describe fuel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   storage   display    value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variable name   type    format     label      variable label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fuel            float   %9.0g                 Fuel consumption (Gallons per 100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                                        Miles)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weight          int     %8.0gc                Weight (lbs.)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summarize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Variable |        Obs        Mean    Std. Dev.       Min        Max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weight |         74    3019.459    777.1936       1760       4840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The variable </w:t>
      </w:r>
      <w:r>
        <w:rPr>
          <w:rStyle w:val="strong"/>
        </w:rPr>
        <w:t>weight</w:t>
      </w:r>
      <w:r>
        <w:t xml:space="preserve"> has minimum value 1760.00, maximum value 4840.00, and range 3080.00.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lot-fuel-consumption-and-vehicle-weight" w:history="1">
        <w:bookmarkStart w:id="3" w:name="plot-fuel-consumption-and-vehicle-weight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Plot fuel consumption and vehicle weight</w:t>
        </w:r>
      </w:hyperlink>
      <w:bookmarkEnd w:id="3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 xml:space="preserve">The graph is produced with Daniel Bischof’s </w:t>
      </w:r>
      <w:r>
        <w:rPr>
          <w:i/>
          <w:iCs/>
        </w:rPr>
        <w:t>538</w:t>
      </w:r>
      <w:r>
        <w:t xml:space="preserve"> scheme.</w:t>
      </w:r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twoway lfitci fuel weight || scatter fuel weight, mcolor(%20) scheme(538)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rPr>
          <w:strike w:val="0"/>
          <w:u w:val="none"/>
        </w:rPr>
        <w:drawing>
          <wp:inline>
            <wp:extent cx="5943600" cy="3958672"/>
            <wp:docPr id="100002" name="" descr="scatter fuel 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62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6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explore-relationship-between-fuel-consumption-and-vehicle-weight-linear-regression" w:history="1">
        <w:bookmarkStart w:id="4" w:name="explore-relationship-between-fuel-consum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Explore relationship between fuel consumption and vehicle weight - linear regression</w:t>
        </w:r>
      </w:hyperlink>
      <w:bookmarkEnd w:id="4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regress fuel weight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Source |       SS           df       MS      Number of obs   =        74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F(1, 72)        =    194.71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Model |  87.2964969         1  87.2964969   Prob &gt; F        =    0.0000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Residual |  32.2797639        72  .448330054   R-squared       =    0.7300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   Adj R-squared   =    0.7263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Total |  119.576261        73  1.63803097   Root MSE        =    .66957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 fuel |      Coef.   Std. Err.      t    P&gt;|t|     [95% Conf. Interval]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-------------+----------------------------------------------------------------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weight |    .001407   .0001008    13.95   0.000      .001206    .0016081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 xml:space="preserve">       _cons |   .7707669   .3142571     2.45   0.017     .1443069    1.397227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------------------------------------------------------------------------------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The regression shows that for every unit increase in weight, a 0.0014 unit increase in fuel consumption is predicted.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roduce-an-html-table-from-regression-results" w:history="1">
        <w:bookmarkStart w:id="5" w:name="produce-an-html-table-from-regression-re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Produce an HTML table from regression results</w:t>
        </w:r>
      </w:hyperlink>
      <w:bookmarkEnd w:id="5"/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. _coef_table, markdown</w:t>
      </w:r>
    </w:p>
    <w:tbl>
      <w:tblPr>
        <w:tblStyle w:val="table"/>
        <w:tblW w:w="4750" w:type="pct"/>
        <w:tblInd w:w="275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046"/>
        <w:gridCol w:w="1282"/>
        <w:gridCol w:w="1417"/>
        <w:gridCol w:w="887"/>
        <w:gridCol w:w="987"/>
        <w:gridCol w:w="1505"/>
        <w:gridCol w:w="1507"/>
      </w:tblGrid>
      <w:tr>
        <w:tblPrEx>
          <w:tblW w:w="4750" w:type="pct"/>
          <w:tblInd w:w="275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fuel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Coef.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Std. Err.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t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>P&gt;|t|</w:t>
            </w:r>
          </w:p>
        </w:tc>
        <w:tc>
          <w:tcPr>
            <w:gridSpan w:val="2"/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[95% Conf. Interval]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weight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.001407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.0001008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13.95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0.000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.001206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.0016081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_cons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>.7707669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.3142571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2.45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0.017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.1443069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1.397227 </w:t>
            </w:r>
          </w:p>
        </w:tc>
      </w:tr>
    </w:tbl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produce-a-table-from-estimates-table" w:history="1">
        <w:bookmarkStart w:id="6" w:name="produce-a-table-from-estimates-table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 xml:space="preserve">Produce a table from </w:t>
        </w:r>
        <w:r>
          <w:rPr>
            <w:rStyle w:val="strong"/>
            <w:rFonts w:ascii="Georgia" w:eastAsia="Georgia" w:hAnsi="Georgia" w:cs="Georgia"/>
            <w:i w:val="0"/>
            <w:iCs w:val="0"/>
            <w:color w:val="0645AD"/>
            <w:sz w:val="36"/>
            <w:szCs w:val="36"/>
          </w:rPr>
          <w:t>estimates table</w:t>
        </w:r>
      </w:hyperlink>
      <w:bookmarkEnd w:id="6"/>
    </w:p>
    <w:p>
      <w:pPr>
        <w:pStyle w:val="pre"/>
        <w:pBdr>
          <w:top w:val="none" w:sz="0" w:space="0" w:color="auto"/>
          <w:left w:val="none" w:sz="0" w:space="6" w:color="auto"/>
          <w:bottom w:val="none" w:sz="0" w:space="2" w:color="auto"/>
          <w:right w:val="none" w:sz="0" w:space="4" w:color="auto"/>
        </w:pBdr>
        <w:spacing w:before="306" w:after="0"/>
        <w:ind w:left="360" w:right="270"/>
        <w:rPr>
          <w:rFonts w:ascii="Courier New" w:eastAsia="Courier New" w:hAnsi="Courier New" w:cs="Courier New"/>
          <w:color w:val="555555"/>
        </w:rPr>
      </w:pPr>
      <w:r>
        <w:rPr>
          <w:rStyle w:val="code"/>
        </w:rPr>
        <w:t>. quietly regress fuel weight gear turn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estimates store model1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quietly regress fuel weight gear turn foreign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  <w:r>
        <w:rPr>
          <w:rStyle w:val="code"/>
        </w:rPr>
        <w:t>. estimates store model2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360" w:right="270"/>
        <w:jc w:val="left"/>
        <w:rPr>
          <w:rStyle w:val="code"/>
        </w:rPr>
      </w:pP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. estimates table model1 model2, varlabel b(%7.4f) stats(N r2_a) star markdown</w:t>
      </w:r>
    </w:p>
    <w:tbl>
      <w:tblPr>
        <w:tblStyle w:val="table"/>
        <w:tblW w:w="4750" w:type="pct"/>
        <w:tblInd w:w="275" w:type="dxa"/>
        <w:tblBorders>
          <w:top w:val="single" w:sz="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589"/>
        <w:gridCol w:w="2502"/>
        <w:gridCol w:w="2539"/>
      </w:tblGrid>
      <w:tr>
        <w:tblPrEx>
          <w:tblW w:w="4750" w:type="pct"/>
          <w:tblInd w:w="275" w:type="dxa"/>
          <w:tblBorders>
            <w:top w:val="single" w:sz="8" w:space="0" w:color="000000"/>
            <w:bottom w:val="single" w:sz="8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Header/>
        </w:trPr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Variable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model1 </w:t>
            </w:r>
          </w:p>
        </w:tc>
        <w:tc>
          <w:tcPr>
            <w:tcBorders>
              <w:bottom w:val="single" w:sz="6" w:space="0" w:color="C1DAD7"/>
            </w:tcBorders>
            <w:noWrap w:val="0"/>
            <w:tcMar>
              <w:top w:w="40" w:type="dxa"/>
              <w:left w:w="95" w:type="dxa"/>
              <w:bottom w:w="38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mallCaps w:val="0"/>
                <w:color w:val="4F6B72"/>
                <w:spacing w:val="30"/>
                <w:sz w:val="24"/>
                <w:szCs w:val="24"/>
              </w:rPr>
              <w:t xml:space="preserve">model2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Weight (lbs.)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0.0014***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0.0013***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Gear Ratio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0.1706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-0.3367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Turn Circle (ft.)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0.0243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0.0613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Car type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0.8650***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Constant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-0.5814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-0.4661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N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  <w:tc>
          <w:tcPr>
            <w:noWrap w:val="0"/>
            <w:tcMar>
              <w:top w:w="35" w:type="dxa"/>
              <w:left w:w="95" w:type="dxa"/>
              <w:bottom w:w="35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74 </w:t>
            </w:r>
          </w:p>
        </w:tc>
      </w:tr>
      <w:tr>
        <w:tblPrEx>
          <w:tblW w:w="4750" w:type="pct"/>
          <w:tblInd w:w="2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r2_a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0.7218 </w:t>
            </w:r>
          </w:p>
        </w:tc>
        <w:tc>
          <w:tcPr>
            <w:noWrap w:val="0"/>
            <w:tcMar>
              <w:top w:w="35" w:type="dxa"/>
              <w:left w:w="95" w:type="dxa"/>
              <w:bottom w:w="40" w:type="dxa"/>
              <w:right w:w="9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left"/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z w:val="24"/>
                <w:szCs w:val="24"/>
              </w:rPr>
              <w:t xml:space="preserve">0.7637 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180"/>
        <w:ind w:left="180" w:right="180"/>
      </w:pPr>
      <w:r>
        <w:t>legend: * p&lt;0.05; ** p&lt;0.01; *** p&lt;0.001</w:t>
      </w:r>
    </w:p>
    <w:p>
      <w:pPr>
        <w:pStyle w:val="Heading2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99" w:after="299" w:line="360" w:lineRule="atLeast"/>
        <w:ind w:left="180" w:right="180"/>
        <w:rPr>
          <w:b w:val="0"/>
          <w:bCs w:val="0"/>
          <w:color w:val="111111"/>
          <w:sz w:val="36"/>
          <w:szCs w:val="36"/>
        </w:rPr>
      </w:pPr>
      <w:hyperlink w:anchor="references" w:history="1">
        <w:bookmarkStart w:id="7" w:name="references"/>
        <w:r>
          <w:rPr>
            <w:rStyle w:val="a"/>
            <w:rFonts w:ascii="Georgia" w:eastAsia="Georgia" w:hAnsi="Georgia" w:cs="Georgia"/>
            <w:i w:val="0"/>
            <w:iCs w:val="0"/>
            <w:sz w:val="36"/>
            <w:szCs w:val="36"/>
          </w:rPr>
          <w:t>References</w:t>
        </w:r>
      </w:hyperlink>
      <w:bookmarkEnd w:id="7"/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/>
        <w:ind w:left="540" w:right="180" w:hanging="235"/>
        <w:jc w:val="left"/>
      </w:pPr>
      <w:hyperlink r:id="rId5" w:history="1">
        <w:r>
          <w:rPr>
            <w:rStyle w:val="a"/>
          </w:rPr>
          <w:t>Convert dynamic Markdown documents to Word or HTML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40" w:right="180" w:hanging="235"/>
        <w:jc w:val="left"/>
      </w:pPr>
      <w:hyperlink r:id="rId6" w:history="1">
        <w:r>
          <w:rPr>
            <w:rStyle w:val="a"/>
          </w:rPr>
          <w:t>dyndoc manual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40" w:right="180" w:hanging="235"/>
        <w:jc w:val="left"/>
      </w:pPr>
      <w:hyperlink r:id="rId7" w:anchor="rptDynamictags" w:history="1">
        <w:r>
          <w:rPr>
            <w:rStyle w:val="a"/>
          </w:rPr>
          <w:t>dynamic tags manual (Stata 16)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40" w:right="180" w:hanging="235"/>
        <w:jc w:val="left"/>
      </w:pPr>
      <w:hyperlink r:id="rId8" w:history="1">
        <w:r>
          <w:rPr>
            <w:rStyle w:val="a"/>
          </w:rPr>
          <w:t>scheme 538</w:t>
        </w:r>
      </w:hyperlink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/>
        <w:ind w:left="540" w:right="180" w:hanging="235"/>
        <w:jc w:val="left"/>
      </w:pPr>
      <w:hyperlink r:id="rId9" w:history="1">
        <w:r>
          <w:rPr>
            <w:rStyle w:val="a"/>
          </w:rPr>
          <w:t>markdown reference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9" w:color="auto"/>
        <w:left w:val="none" w:sz="0" w:space="9" w:color="auto"/>
        <w:bottom w:val="none" w:sz="0" w:space="9" w:color="auto"/>
        <w:right w:val="none" w:sz="0" w:space="9" w:color="auto"/>
      </w:pBdr>
      <w:spacing w:line="270" w:lineRule="atLeast"/>
    </w:pPr>
    <w:rPr>
      <w:rFonts w:ascii="Georgia" w:eastAsia="Georgia" w:hAnsi="Georgia" w:cs="Georgia"/>
      <w:color w:val="444444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 w:line="600" w:lineRule="atLeast"/>
      <w:outlineLvl w:val="0"/>
    </w:pPr>
    <w:rPr>
      <w:rFonts w:ascii="Times New Roman" w:eastAsia="Times New Roman" w:hAnsi="Times New Roman" w:cs="Times New Roman"/>
      <w:b w:val="0"/>
      <w:bCs w:val="0"/>
      <w:i w:val="0"/>
      <w:color w:val="111111"/>
      <w:kern w:val="36"/>
      <w:sz w:val="60"/>
      <w:szCs w:val="60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 w:line="480" w:lineRule="atLeast"/>
      <w:outlineLvl w:val="1"/>
    </w:pPr>
    <w:rPr>
      <w:rFonts w:ascii="Times New Roman" w:eastAsia="Times New Roman" w:hAnsi="Times New Roman" w:cs="Times New Roman"/>
      <w:b w:val="0"/>
      <w:bCs w:val="0"/>
      <w:i w:val="0"/>
      <w:iCs/>
      <w:color w:val="111111"/>
      <w:sz w:val="48"/>
      <w:szCs w:val="4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 w:line="360" w:lineRule="atLeast"/>
      <w:outlineLvl w:val="2"/>
    </w:pPr>
    <w:rPr>
      <w:rFonts w:ascii="Times New Roman" w:eastAsia="Times New Roman" w:hAnsi="Times New Roman" w:cs="Times New Roman"/>
      <w:b w:val="0"/>
      <w:bCs w:val="0"/>
      <w:i w:val="0"/>
      <w:color w:val="111111"/>
      <w:sz w:val="36"/>
      <w:szCs w:val="3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 w:line="288" w:lineRule="atLeast"/>
      <w:outlineLvl w:val="3"/>
    </w:pPr>
    <w:rPr>
      <w:rFonts w:ascii="Times New Roman" w:eastAsia="Times New Roman" w:hAnsi="Times New Roman" w:cs="Times New Roman"/>
      <w:b/>
      <w:bCs/>
      <w:i w:val="0"/>
      <w:color w:val="111111"/>
      <w:sz w:val="29"/>
      <w:szCs w:val="29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tLeast"/>
      <w:outlineLvl w:val="4"/>
    </w:pPr>
    <w:rPr>
      <w:rFonts w:ascii="Times New Roman" w:eastAsia="Times New Roman" w:hAnsi="Times New Roman" w:cs="Times New Roman"/>
      <w:b/>
      <w:bCs/>
      <w:i w:val="0"/>
      <w:iCs/>
      <w:color w:val="111111"/>
      <w:sz w:val="24"/>
      <w:szCs w:val="24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16" w:lineRule="atLeast"/>
      <w:outlineLvl w:val="5"/>
    </w:pPr>
    <w:rPr>
      <w:rFonts w:ascii="Times New Roman" w:eastAsia="Times New Roman" w:hAnsi="Times New Roman" w:cs="Times New Roman"/>
      <w:b/>
      <w:bCs/>
      <w:i w:val="0"/>
      <w:color w:val="111111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Pr>
      <w:color w:val="0645AD"/>
    </w:rPr>
  </w:style>
  <w:style w:type="paragraph" w:customStyle="1" w:styleId="p">
    <w:name w:val="p"/>
    <w:basedOn w:val="Normal"/>
  </w:style>
  <w:style w:type="paragraph" w:customStyle="1" w:styleId="pre">
    <w:name w:val="pre"/>
    <w:basedOn w:val="Normal"/>
    <w:pPr>
      <w:keepLines/>
      <w:pBdr>
        <w:top w:val="none" w:sz="0" w:space="1" w:color="auto"/>
        <w:left w:val="none" w:sz="0" w:space="8" w:color="auto"/>
        <w:bottom w:val="none" w:sz="0" w:space="3" w:color="auto"/>
        <w:right w:val="none" w:sz="0" w:space="6" w:color="auto"/>
      </w:pBdr>
      <w:jc w:val="left"/>
    </w:pPr>
    <w:rPr>
      <w:rFonts w:ascii="Courier New" w:eastAsia="Courier New" w:hAnsi="Courier New" w:cs="Courier New"/>
      <w:color w:val="555555"/>
    </w:rPr>
  </w:style>
  <w:style w:type="character" w:customStyle="1" w:styleId="code">
    <w:name w:val="code"/>
    <w:basedOn w:val="DefaultParagraphFont"/>
    <w:rPr>
      <w:rFonts w:ascii="Courier New" w:eastAsia="Courier New" w:hAnsi="Courier New" w:cs="Courier New"/>
      <w:color w:val="555555"/>
    </w:rPr>
  </w:style>
  <w:style w:type="character" w:customStyle="1" w:styleId="strong">
    <w:name w:val="strong"/>
    <w:basedOn w:val="DefaultParagraphFont"/>
    <w:rPr>
      <w:b/>
      <w:bCs/>
    </w:rPr>
  </w:style>
  <w:style w:type="table" w:customStyle="1" w:styleId="table">
    <w:name w:val="table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www.stata.com/features/overview/markdown/" TargetMode="External" /><Relationship Id="rId6" Type="http://schemas.openxmlformats.org/officeDocument/2006/relationships/hyperlink" Target="https://www.stata.com/manuals/rptdyndoc.pdf" TargetMode="External" /><Relationship Id="rId7" Type="http://schemas.openxmlformats.org/officeDocument/2006/relationships/hyperlink" Target="https://www.stata.com/manuals/rptdynamictags.pdf" TargetMode="External" /><Relationship Id="rId8" Type="http://schemas.openxmlformats.org/officeDocument/2006/relationships/hyperlink" Target="https://danbischof.com/2017/09/05/a-final-stata-gift-538-schemes/" TargetMode="External" /><Relationship Id="rId9" Type="http://schemas.openxmlformats.org/officeDocument/2006/relationships/hyperlink" Target="https://daringfireball.net/projects/markdown/syntax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