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3D4FD1">
      <w:pPr>
        <w:pStyle w:val="17"/>
      </w:pPr>
      <w:r>
        <w:t>Research Proposal</w:t>
      </w:r>
    </w:p>
    <w:p w14:paraId="42DEC804">
      <w:pPr>
        <w:pStyle w:val="3"/>
      </w:pPr>
      <w:r>
        <w:rPr>
          <w:b/>
          <w:bCs/>
        </w:rPr>
        <w:t>Applicant’s name:</w:t>
      </w:r>
      <w:r>
        <w:t xml:space="preserve"> Baoyi Huang</w:t>
      </w:r>
    </w:p>
    <w:p w14:paraId="387DA0E6">
      <w:pPr>
        <w:pStyle w:val="3"/>
      </w:pPr>
      <w:r>
        <w:rPr>
          <w:b/>
          <w:bCs/>
        </w:rPr>
        <w:t>Proposed Topic/Title of Research:</w:t>
      </w:r>
      <w:r>
        <w:t xml:space="preserve"> Deep Learning for Patient-Independent Epileptic Seizure Detection from Scalp EEG: Toward Generalizable and Clinically Deployable Models</w:t>
      </w:r>
    </w:p>
    <w:p w14:paraId="114EE5B1">
      <w:pPr>
        <w:pStyle w:val="4"/>
      </w:pPr>
      <w:bookmarkStart w:id="0" w:name="background"/>
      <w:r>
        <w:t>Background</w:t>
      </w:r>
    </w:p>
    <w:p w14:paraId="36873CD9">
      <w:pPr>
        <w:pStyle w:val="23"/>
      </w:pPr>
      <w:r>
        <w:t>Epilepsy affects approximately 50 million people worldwide, and continuous scalp electroencephalography (EEG) remains the primary tool for diagnosing and monitoring seizures in both inpatient epilepsy monitoring units and, increasingly, ambulatory settings. Manual review of multi-day, multi-channel EEG recordings by neurologists is time-consuming, subject to inter-rater variability, and does not scale to the volume of data produced by long-term or wearable monitoring. Automated seizure detection has therefore been an active research area since Gotman’s foundational work in the early 1980s, and the field has progressed through three broad generations of methods: rule-based/threshold detectors, classical machine learning on hand-engineered spectral and time-domain features (e.g., Shoeb’s work on the CHB-MIT database), and, most recently, deep learning architectures that learn representations directly from raw or lightly processed signal.</w:t>
      </w:r>
    </w:p>
    <w:p w14:paraId="051C6365">
      <w:pPr>
        <w:pStyle w:val="3"/>
      </w:pPr>
      <w:r>
        <w:t>De</w:t>
      </w:r>
      <w:r>
        <w:rPr>
          <w:b w:val="0"/>
          <w:bCs w:val="0"/>
        </w:rPr>
        <w:t>spite this progress, a persistent obstacle to clinical translation is patient generalizability. EEG morphology varies substantially across individuals due to differences in</w:t>
      </w:r>
      <w:r>
        <w:t xml:space="preserve"> seizure focus, skull/scalp conductivity, electrode placement, and background rhythms, so models validated with patient-</w:t>
      </w:r>
      <w:r>
        <w:rPr>
          <w:i/>
          <w:iCs/>
        </w:rPr>
        <w:t>dependent</w:t>
      </w:r>
      <w:r>
        <w:t xml:space="preserve"> cross-validation (where a given patient’s data appears in both training and test folds) tend to report inflated performance that does not hold under patient-</w:t>
      </w:r>
      <w:r>
        <w:rPr>
          <w:i/>
          <w:iCs/>
        </w:rPr>
        <w:t>independent</w:t>
      </w:r>
      <w:r>
        <w:t xml:space="preserve"> evaluation — the setting that actually matters for deploying a model on a new patient. Many published benchmarks conflate these two regimes, and false-alarm rates under realistic, leave-subjects-out evaluation are rarely reported with the same rigor as sensitivity.</w:t>
      </w:r>
    </w:p>
    <w:p w14:paraId="55FBB61B">
      <w:pPr>
        <w:pStyle w:val="3"/>
      </w:pPr>
      <w:r>
        <w:t>This proposed research is motivated by that gap. It builds on an existing pipeline I have developed for the CHB-MIT scalp EEG database — including automated dataset auditing, seizure annotation parsing, canonical channel harmonization, fixed-window segmentation, strictly patient-independent fold construction, and a classical spectral-feature/Random Forest baseline — and extends it toward deep learning architectures (1D/2D convolutional and convolutional-recurrent networks) evaluated under the same leakage-free, patient-independent protocol.</w:t>
      </w:r>
    </w:p>
    <w:p w14:paraId="09F1715A">
      <w:pPr>
        <w:pStyle w:val="3"/>
      </w:pPr>
      <w:r>
        <w:rPr>
          <w:b/>
          <w:bCs/>
        </w:rPr>
        <w:t>Research questions:</w:t>
      </w:r>
    </w:p>
    <w:p w14:paraId="46A1A1C8">
      <w:pPr>
        <w:pStyle w:val="24"/>
        <w:numPr>
          <w:ilvl w:val="0"/>
          <w:numId w:val="1"/>
        </w:numPr>
      </w:pPr>
      <w:r>
        <w:t>Under a strictly patient-independent evaluation protocol, how much performance improvement (sensitivity, specificity, false alarms per hour, AUC) do end-to-end deep learning models achieve over classical spectral-feature baselines for scalp-EEG seizure detection?</w:t>
      </w:r>
    </w:p>
    <w:p w14:paraId="345BEFBE">
      <w:pPr>
        <w:pStyle w:val="24"/>
        <w:numPr>
          <w:ilvl w:val="0"/>
          <w:numId w:val="1"/>
        </w:numPr>
      </w:pPr>
      <w:r>
        <w:t>Which learned representations (raw-signal convolutional filters vs. spectral-input architectures vs. hybrid convolutional-recurrent models) generalize best across patients, and do their failure modes differ systematically (e.g., false alarms clustered around specific artifact types or interictal epileptiform discharges)?</w:t>
      </w:r>
    </w:p>
    <w:p w14:paraId="7F15761C">
      <w:pPr>
        <w:pStyle w:val="24"/>
        <w:numPr>
          <w:ilvl w:val="0"/>
          <w:numId w:val="1"/>
        </w:numPr>
      </w:pPr>
      <w:r>
        <w:t>Can domain-adaptation or few-shot calibration techniques close the residual generalization gap for held-out patients without requiring large amounts of patient-specific labeled data — a prerequisite for real-world deployability?</w:t>
      </w:r>
    </w:p>
    <w:p w14:paraId="233A5ECF">
      <w:pPr>
        <w:pStyle w:val="24"/>
        <w:numPr>
          <w:ilvl w:val="0"/>
          <w:numId w:val="1"/>
        </w:numPr>
      </w:pPr>
      <w:r>
        <w:t>Do models developed and validated on CHB-MIT (pediatric, scalp) transfer, or transfer after adaptation, to an independent adult scalp-EEG corpus (e.g., the Temple University Hospital EEG Seizure Corpus)?</w:t>
      </w:r>
    </w:p>
    <w:bookmarkEnd w:id="0"/>
    <w:p w14:paraId="0858638B">
      <w:pPr>
        <w:pStyle w:val="4"/>
      </w:pPr>
      <w:bookmarkStart w:id="1" w:name="methodology"/>
      <w:r>
        <w:t>Methodology</w:t>
      </w:r>
    </w:p>
    <w:p w14:paraId="60F29832">
      <w:pPr>
        <w:pStyle w:val="23"/>
      </w:pPr>
      <w:r>
        <w:rPr>
          <w:b/>
          <w:bCs/>
        </w:rPr>
        <w:t>Data.</w:t>
      </w:r>
      <w:r>
        <w:t xml:space="preserve"> The primary dataset is the CHB-MIT Scalp EEG Database (PhysioNet), comprising long-term, 23-channel scalp recordings from pediatric subjects with intractable seizures, with seizure onset/offset annotations. A secondary corpus (the Temple University Hospital Seizure Detection Corpus, TUSZ) will be used for external validation and to assess cross-dataset generalization to an adult population and different acquisition hardware.</w:t>
      </w:r>
    </w:p>
    <w:p w14:paraId="4700F8A8">
      <w:pPr>
        <w:pStyle w:val="3"/>
      </w:pPr>
      <w:r>
        <w:rPr>
          <w:b/>
          <w:bCs/>
        </w:rPr>
        <w:t>Preprocessing.</w:t>
      </w:r>
      <w:r>
        <w:t xml:space="preserve"> Recordings are read via a fallback-tolerant EDF loader (MNE, with pyedflib cross-checks) to handle known file-compliance and channel-labeling quirks in the archive; channels are harmonized to a canonical montage; signals are band-pass filtered; and data are segmented into fixed-length, half-open windows at the dataset’s native 256 Hz sampling rate, labeled ictal/interictal from the parsed annotation files.</w:t>
      </w:r>
    </w:p>
    <w:p w14:paraId="7E1DEEAE">
      <w:pPr>
        <w:pStyle w:val="3"/>
      </w:pPr>
      <w:r>
        <w:rPr>
          <w:b/>
          <w:bCs/>
        </w:rPr>
        <w:t>Fold construction and leakage control.</w:t>
      </w:r>
      <w:r>
        <w:t xml:space="preserve"> Cross-validation folds are constructed at the </w:t>
      </w:r>
      <w:r>
        <w:rPr>
          <w:i/>
          <w:iCs/>
        </w:rPr>
        <w:t>subject</w:t>
      </w:r>
      <w:r>
        <w:t xml:space="preserve"> level (patient-independent), with fit/validation/test subject sets kept disjoint within each fold; any per-fold normalization (e.g., feature scaling) is fit exclusively on that fold’s training subjects. This design is the methodological backbone of the proposed comparison and directly addresses research question 1.</w:t>
      </w:r>
    </w:p>
    <w:p w14:paraId="0570BC07">
      <w:pPr>
        <w:pStyle w:val="3"/>
      </w:pPr>
      <w:r>
        <w:rPr>
          <w:b/>
          <w:bCs/>
        </w:rPr>
        <w:t>Models.</w:t>
      </w:r>
    </w:p>
    <w:p w14:paraId="0BA3A0A7">
      <w:pPr>
        <w:pStyle w:val="24"/>
        <w:numPr>
          <w:ilvl w:val="0"/>
          <w:numId w:val="2"/>
        </w:numPr>
      </w:pPr>
      <w:r>
        <w:rPr>
          <w:i/>
          <w:iCs/>
        </w:rPr>
        <w:t>Baseline</w:t>
      </w:r>
      <w:r>
        <w:t>: spectral-feature extraction (Welch power spectral density across canonical frequency bands per channel) feeding a Random Forest classifier — already implemented and validated as a reference point.</w:t>
      </w:r>
    </w:p>
    <w:p w14:paraId="2DC98BDE">
      <w:pPr>
        <w:pStyle w:val="24"/>
        <w:numPr>
          <w:ilvl w:val="0"/>
          <w:numId w:val="2"/>
        </w:numPr>
      </w:pPr>
      <w:r>
        <w:rPr>
          <w:i/>
          <w:iCs/>
        </w:rPr>
        <w:t>Deep learning</w:t>
      </w:r>
      <w:r>
        <w:t>: (a) 1D CNNs operating on raw or minimally filtered multi-channel windows; (b) 2D CNNs on time-frequency (spectrogram/wavelet) representations; (c) CNN-recurrent (CNN-LSTM/GRU) hybrids to capture longer temporal context around seizure onset; (d) attention-based variants for interpretability of learned saliency relative to known seizure-focus channels.</w:t>
      </w:r>
    </w:p>
    <w:p w14:paraId="15EC9797">
      <w:pPr>
        <w:pStyle w:val="24"/>
        <w:numPr>
          <w:ilvl w:val="0"/>
          <w:numId w:val="2"/>
        </w:numPr>
      </w:pPr>
      <w:r>
        <w:rPr>
          <w:i/>
          <w:iCs/>
        </w:rPr>
        <w:t>Generalization interventions</w:t>
      </w:r>
      <w:r>
        <w:t>: domain adaptation (e.g., adversarial subject-invariant feature learning) and lightweight few-shot calibration using a small amount of labeled data from a held-out patient, tested against the zero-calibration baseline.</w:t>
      </w:r>
    </w:p>
    <w:p w14:paraId="60F3F480">
      <w:pPr>
        <w:pStyle w:val="23"/>
      </w:pPr>
      <w:r>
        <w:rPr>
          <w:b/>
          <w:bCs/>
        </w:rPr>
        <w:t>Evaluation and statistical approach.</w:t>
      </w:r>
      <w:r>
        <w:t xml:space="preserve"> Primary metrics are sensitivity, specificity, AUROC/AUPRC, and clinically-relevant false alarms per hour under event-based (not window-based) scoring, since window-level accuracy is known to overstate clinical usefulness. Comparisons across models use paired, subject-level bootstrap confidence intervals and non-parametric tests (e.g., Wilcoxon signed-rank across folds) rather than pooled window-level significance tests, to respect the non-independence of windows within a subject. Ablations isolate the contribution of input representation, architecture depth, and generalization interventions.</w:t>
      </w:r>
    </w:p>
    <w:p w14:paraId="2B562BE0">
      <w:pPr>
        <w:pStyle w:val="3"/>
      </w:pPr>
      <w:r>
        <w:rPr>
          <w:b/>
          <w:bCs/>
        </w:rPr>
        <w:t>Ethics and data governance.</w:t>
      </w:r>
      <w:r>
        <w:t xml:space="preserve"> All data are de-identified, publicly available research corpora distributed under their respective PhysioNet/TUH data use agreements; no new human-subjects data collection is proposed, so the project poses minimal additional ethical risk beyond standard secondary-data-use compliance, which will be confirmed with HKU’s research ethics process before commencement.</w:t>
      </w:r>
    </w:p>
    <w:bookmarkEnd w:id="1"/>
    <w:p w14:paraId="0B76A9D7">
      <w:pPr>
        <w:pStyle w:val="4"/>
      </w:pPr>
      <w:bookmarkStart w:id="2" w:name="outcomes-and-value"/>
      <w:r>
        <w:t>Outcomes and Value</w:t>
      </w:r>
    </w:p>
    <w:p w14:paraId="44FB9B72">
      <w:pPr>
        <w:pStyle w:val="23"/>
      </w:pPr>
      <w:r>
        <w:t>This research is expected to produce: (1) a rigorously leakage-free, reproducible benchmark comparing classical and deep learning approaches to scalp-EEG seizure detection under patient-independent evaluation — a methodological contribution in its own right, given how often this distinction is blurred in the literature; (2) empirical evidence on which deep architectures and generalization techniques best close the cross-patient performance gap, informing future model design choices for clinical-grade detectors; (3) a cross-corpus validation (CHB-MIT → TUSZ) that speaks directly to real-world deployability, since a model that only works on its training population has limited clinical value; and (4) an open, well-documented pipeline (data auditing, annotation parsing, patient-independent splitting, feature/deep-learning model training) that can serve as a reusable research and teaching resource.</w:t>
      </w:r>
    </w:p>
    <w:p w14:paraId="34669E40">
      <w:pPr>
        <w:pStyle w:val="3"/>
      </w:pPr>
      <w:r>
        <w:t>Beyond the immediate technical contribution, improved patient-independent seizure detection has direct downstream relevance to reducing clinician review burden in epilepsy monitoring units, enabling more reliable ambulatory/wearable seizure monitoring, and providing a foundation for closed-loop neurostimulation and early-warning (seizure prediction) systems, where false-alarm rate is often the binding constraint on clinical adoption. The proposed comparison of generalization techniques also contributes more broadly to the growing literature on domain adaptation for biosignals, a challenge shared with other medical time-series applications (e.g., ECG arrhythmia detection, ICU deterioration prediction).</w:t>
      </w:r>
    </w:p>
    <w:bookmarkEnd w:id="2"/>
    <w:p w14:paraId="695DF5C9">
      <w:pPr>
        <w:pStyle w:val="4"/>
      </w:pPr>
      <w:bookmarkStart w:id="3" w:name="references"/>
      <w:r>
        <w:t>References</w:t>
      </w:r>
    </w:p>
    <w:p w14:paraId="50BDE1AC">
      <w:pPr>
        <w:pStyle w:val="23"/>
      </w:pPr>
      <w:bookmarkStart w:id="4" w:name="_GoBack"/>
      <w:r>
        <w:t xml:space="preserve">Gotman, J. (1982). Automatic recognition of epileptic seizures in the EEG. </w:t>
      </w:r>
      <w:r>
        <w:rPr>
          <w:i/>
          <w:iCs/>
        </w:rPr>
        <w:t>Electroencephalography and Clinical Neurophysiology</w:t>
      </w:r>
      <w:r>
        <w:t>, 54(5), 530–540.</w:t>
      </w:r>
    </w:p>
    <w:p w14:paraId="7EB88BBD">
      <w:pPr>
        <w:pStyle w:val="3"/>
      </w:pPr>
      <w:r>
        <w:t xml:space="preserve">Shoeb, A. H. (2009). </w:t>
      </w:r>
      <w:r>
        <w:rPr>
          <w:i/>
          <w:iCs/>
        </w:rPr>
        <w:t>Application of Machine Learning to Epileptic Seizure Onset Detection and Treatment</w:t>
      </w:r>
      <w:r>
        <w:t xml:space="preserve"> (Doctoral dissertation). Massachusetts Institute of Technology.</w:t>
      </w:r>
    </w:p>
    <w:p w14:paraId="2131C87B">
      <w:pPr>
        <w:pStyle w:val="3"/>
      </w:pPr>
      <w:r>
        <w:t xml:space="preserve">Goldberger, A. L., Amaral, L. A. N., Glass, L., et al. (2000). PhysioBank, PhysioToolkit, and PhysioNet: Components of a new research resource for complex physiologic signals. </w:t>
      </w:r>
      <w:r>
        <w:rPr>
          <w:i/>
          <w:iCs/>
        </w:rPr>
        <w:t>Circulation</w:t>
      </w:r>
      <w:r>
        <w:t>, 101(23), e215–e220.</w:t>
      </w:r>
    </w:p>
    <w:p w14:paraId="0CFA18E0">
      <w:pPr>
        <w:pStyle w:val="3"/>
      </w:pPr>
      <w:r>
        <w:t xml:space="preserve">Truong, N. D., Nguyen, A. D., Kuhlmann, L., et al. (2018). Convolutional neural networks for seizure prediction using intracranial and scalp electroencephalogram. </w:t>
      </w:r>
      <w:r>
        <w:rPr>
          <w:i/>
          <w:iCs/>
        </w:rPr>
        <w:t>Neural Networks</w:t>
      </w:r>
      <w:r>
        <w:t>, 105, 104–111.</w:t>
      </w:r>
    </w:p>
    <w:p w14:paraId="58056BD8">
      <w:pPr>
        <w:pStyle w:val="3"/>
      </w:pPr>
      <w:r>
        <w:t xml:space="preserve">Roy, Y., Banville, H., Albuquerque, I., Gramfort, A., Falk, T. H., &amp; Faubert, J. (2019). Deep learning-based electroencephalography analysis: a systematic review. </w:t>
      </w:r>
      <w:r>
        <w:rPr>
          <w:i/>
          <w:iCs/>
        </w:rPr>
        <w:t>Journal of Neural Engineering</w:t>
      </w:r>
      <w:r>
        <w:t>, 16(5), 051001.</w:t>
      </w:r>
    </w:p>
    <w:p w14:paraId="544737C8">
      <w:pPr>
        <w:pStyle w:val="3"/>
      </w:pPr>
      <w:r>
        <w:t xml:space="preserve">Saab, K., Dunnmon, J., Ré, C., Rubin, D., &amp; Lee-Messer, C. (2020). Weak supervision as an efficient approach for automated seizure detection in electroencephalography. </w:t>
      </w:r>
      <w:r>
        <w:rPr>
          <w:i/>
          <w:iCs/>
        </w:rPr>
        <w:t>npj Digital Medicine</w:t>
      </w:r>
      <w:r>
        <w:t>, 3, 59.</w:t>
      </w:r>
    </w:p>
    <w:p w14:paraId="22BF2DF1">
      <w:pPr>
        <w:pStyle w:val="3"/>
      </w:pPr>
      <w:r>
        <w:t xml:space="preserve">Shah, V., von Weltin, E., Lopez, S., et al. (2018). The Temple University Hospital Seizure Detection Corpus. </w:t>
      </w:r>
      <w:r>
        <w:rPr>
          <w:i/>
          <w:iCs/>
        </w:rPr>
        <w:t>Frontiers in Neuroinformatics</w:t>
      </w:r>
      <w:r>
        <w:t>, 12, 83.</w:t>
      </w:r>
      <w:bookmarkEnd w:id="3"/>
    </w:p>
    <w:bookmarkEnd w:id="4"/>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imSun">
    <w:altName w:val="汉仪书宋二KW"/>
    <w:panose1 w:val="02010600030101010101"/>
    <w:charset w:val="86"/>
    <w:family w:val="auto"/>
    <w:pitch w:val="default"/>
    <w:sig w:usb0="00000000" w:usb1="00000000" w:usb2="00000016" w:usb3="00000000" w:csb0="00040001" w:csb1="00000000"/>
  </w:font>
  <w:font w:name="SimSun">
    <w:altName w:val="汉仪书宋二KW"/>
    <w:panose1 w:val="00000000000000000000"/>
    <w:charset w:val="00"/>
    <w:family w:val="auto"/>
    <w:pitch w:val="default"/>
    <w:sig w:usb0="00000000" w:usb1="00000000" w:usb2="00000000" w:usb3="00000000" w:csb0="00000000" w:csb1="00000000"/>
  </w:font>
  <w:font w:name="Aptos">
    <w:altName w:val="Helvetica Neue"/>
    <w:panose1 w:val="020B0004020202020204"/>
    <w:charset w:val="00"/>
    <w:family w:val="swiss"/>
    <w:pitch w:val="default"/>
    <w:sig w:usb0="00000000" w:usb1="00000000" w:usb2="00000000"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Aptos Display">
    <w:altName w:val="Helvetica Neue"/>
    <w:panose1 w:val="020B0004020202020204"/>
    <w:charset w:val="00"/>
    <w:family w:val="swiss"/>
    <w:pitch w:val="default"/>
    <w:sig w:usb0="00000000" w:usb1="00000000" w:usb2="00000000" w:usb3="00000000" w:csb0="0000019F" w:csb1="00000000"/>
  </w:font>
  <w:font w:name="等线 Light">
    <w:altName w:val="汉仪中等线KW"/>
    <w:panose1 w:val="00000000000000000000"/>
    <w:charset w:val="00"/>
    <w:family w:val="auto"/>
    <w:pitch w:val="default"/>
    <w:sig w:usb0="00000000" w:usb1="00000000" w:usb2="00000000" w:usb3="00000000" w:csb0="00000000" w:csb1="00000000"/>
  </w:font>
  <w:font w:name="Consolas">
    <w:altName w:val="苹方-简"/>
    <w:panose1 w:val="00000000000000000000"/>
    <w:charset w:val="00"/>
    <w:family w:val="auto"/>
    <w:pitch w:val="default"/>
    <w:sig w:usb0="00000000" w:usb1="00000000" w:usb2="00000000" w:usb3="00000000" w:csb0="00000000" w:csb1="00000000"/>
  </w:font>
  <w:font w:name="Symbol">
    <w:altName w:val="Kingsoft Sign"/>
    <w:panose1 w:val="00000000000000000000"/>
    <w:charset w:val="00"/>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汉仪书宋二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汉仪中黑KW">
    <w:panose1 w:val="00020600040101010101"/>
    <w:charset w:val="86"/>
    <w:family w:val="auto"/>
    <w:pitch w:val="default"/>
    <w:sig w:usb0="A00002BF" w:usb1="18EF7CFA" w:usb2="00000016"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9"/>
  <w:doNotDisplayPageBoundaries w:val="1"/>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splitPgBreakAndParaMark/>
    <w:compatSetting w:name="compatibilityMode" w:uri="http://schemas.microsoft.com/office/word" w:val="12"/>
  </w:compat>
  <w:rsids>
    <w:rsidRoot w:val="00000000"/>
    <w:rsid w:val="6FF5E84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2">
    <w:name w:val="Default Paragraph Font"/>
    <w:semiHidden/>
    <w:unhideWhenUsed/>
    <w:uiPriority w:val="0"/>
  </w:style>
  <w:style w:type="table" w:default="1" w:styleId="13">
    <w:name w:val="Normal Table"/>
    <w:uiPriority w:val="0"/>
    <w:tblPr>
      <w:tblCellMar>
        <w:top w:w="0" w:type="dxa"/>
        <w:left w:w="108" w:type="dxa"/>
        <w:bottom w:w="0" w:type="dxa"/>
        <w:right w:w="108" w:type="dxa"/>
      </w:tblCellMar>
    </w:tblPr>
  </w:style>
  <w:style w:type="paragraph" w:styleId="3">
    <w:name w:val="Body Text"/>
    <w:basedOn w:val="1"/>
    <w:link w:val="19"/>
    <w:qFormat/>
    <w:uiPriority w:val="0"/>
    <w:pPr>
      <w:spacing w:before="180" w:after="180"/>
    </w:pPr>
  </w:style>
  <w:style w:type="paragraph" w:styleId="14">
    <w:name w:val="Block Text"/>
    <w:basedOn w:val="3"/>
    <w:next w:val="3"/>
    <w:unhideWhenUsed/>
    <w:qFormat/>
    <w:uiPriority w:val="9"/>
    <w:pPr>
      <w:spacing w:before="100" w:after="100"/>
      <w:ind w:left="480" w:right="480" w:firstLine="0"/>
    </w:pPr>
  </w:style>
  <w:style w:type="paragraph" w:styleId="15">
    <w:name w:val="caption"/>
    <w:basedOn w:val="1"/>
    <w:uiPriority w:val="0"/>
    <w:pPr>
      <w:spacing w:before="0" w:after="120"/>
    </w:pPr>
    <w:rPr>
      <w:i/>
    </w:rPr>
  </w:style>
  <w:style w:type="paragraph" w:styleId="16">
    <w:name w:val="Date"/>
    <w:basedOn w:val="17"/>
    <w:next w:val="3"/>
    <w:qFormat/>
    <w:uiPriority w:val="0"/>
    <w:pPr>
      <w:keepNext/>
      <w:keepLines/>
    </w:pPr>
    <w:rPr>
      <w:sz w:val="24"/>
      <w:szCs w:val="24"/>
    </w:rPr>
  </w:style>
  <w:style w:type="paragraph" w:styleId="17">
    <w:name w:val="Title"/>
    <w:basedOn w:val="1"/>
    <w:next w:val="3"/>
    <w:link w:val="25"/>
    <w:qFormat/>
    <w:uiPriority w:val="10"/>
    <w:pPr>
      <w:spacing w:after="80" w:line="240" w:lineRule="auto"/>
      <w:contextualSpacing/>
      <w:jc w:val="center"/>
    </w:pPr>
    <w:rPr>
      <w:rFonts w:asciiTheme="majorHAnsi" w:hAnsiTheme="majorHAnsi" w:eastAsiaTheme="majorEastAsia" w:cstheme="majorBidi"/>
      <w:sz w:val="56"/>
      <w:szCs w:val="56"/>
    </w:rPr>
  </w:style>
  <w:style w:type="character" w:styleId="18">
    <w:name w:val="footnote reference"/>
    <w:basedOn w:val="19"/>
    <w:uiPriority w:val="0"/>
    <w:rPr>
      <w:vertAlign w:val="superscript"/>
    </w:rPr>
  </w:style>
  <w:style w:type="character" w:customStyle="1" w:styleId="19">
    <w:name w:val="Body Text Char"/>
    <w:basedOn w:val="12"/>
    <w:link w:val="3"/>
    <w:uiPriority w:val="0"/>
  </w:style>
  <w:style w:type="paragraph" w:styleId="20">
    <w:name w:val="footnote text"/>
    <w:basedOn w:val="1"/>
    <w:unhideWhenUsed/>
    <w:qFormat/>
    <w:uiPriority w:val="9"/>
  </w:style>
  <w:style w:type="character" w:styleId="21">
    <w:name w:val="Hyperlink"/>
    <w:basedOn w:val="19"/>
    <w:uiPriority w:val="0"/>
    <w:rPr>
      <w:color w:val="156082" w:themeColor="accent1"/>
    </w:rPr>
  </w:style>
  <w:style w:type="paragraph" w:styleId="22">
    <w:name w:val="Subtitle"/>
    <w:basedOn w:val="17"/>
    <w:next w:val="3"/>
    <w:link w:val="26"/>
    <w:qFormat/>
    <w:uiPriority w:val="11"/>
    <w:rPr>
      <w:rFonts w:eastAsiaTheme="majorEastAsia" w:cstheme="majorBidi"/>
      <w:spacing w:val="15"/>
      <w:sz w:val="28"/>
      <w:szCs w:val="28"/>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2"/>
    <w:link w:val="17"/>
    <w:uiPriority w:val="10"/>
    <w:rPr>
      <w:rFonts w:asciiTheme="majorHAnsi" w:hAnsiTheme="majorHAnsi" w:eastAsiaTheme="majorEastAsia" w:cstheme="majorBidi"/>
      <w:sz w:val="56"/>
      <w:szCs w:val="56"/>
    </w:rPr>
  </w:style>
  <w:style w:type="character" w:customStyle="1" w:styleId="26">
    <w:name w:val="Subtitle Char"/>
    <w:basedOn w:val="12"/>
    <w:link w:val="22"/>
    <w:uiPriority w:val="11"/>
    <w:rPr>
      <w:rFonts w:eastAsiaTheme="majorEastAsia" w:cstheme="majorBidi"/>
      <w:color w:val="585858" w:themeColor="text1" w:themeTint="A6"/>
      <w:spacing w:val="15"/>
      <w:sz w:val="28"/>
      <w:szCs w:val="28"/>
    </w:rPr>
  </w:style>
  <w:style w:type="paragraph" w:customStyle="1" w:styleId="27">
    <w:name w:val="Author"/>
    <w:basedOn w:val="17"/>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2"/>
    <w:link w:val="2"/>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2"/>
    <w:link w:val="4"/>
    <w:semiHidden/>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2"/>
    <w:link w:val="5"/>
    <w:semiHidden/>
    <w:uiPriority w:val="9"/>
    <w:rPr>
      <w:rFonts w:eastAsiaTheme="majorEastAsia" w:cstheme="majorBidi"/>
      <w:color w:val="0F4761" w:themeColor="accent1" w:themeShade="BF"/>
      <w:sz w:val="28"/>
      <w:szCs w:val="28"/>
    </w:rPr>
  </w:style>
  <w:style w:type="character" w:customStyle="1" w:styleId="34">
    <w:name w:val="Heading 4 Char"/>
    <w:basedOn w:val="12"/>
    <w:link w:val="6"/>
    <w:semiHidden/>
    <w:uiPriority w:val="9"/>
    <w:rPr>
      <w:rFonts w:eastAsiaTheme="majorEastAsia" w:cstheme="majorBidi"/>
      <w:i/>
      <w:iCs/>
      <w:color w:val="0F4761" w:themeColor="accent1" w:themeShade="BF"/>
    </w:rPr>
  </w:style>
  <w:style w:type="character" w:customStyle="1" w:styleId="35">
    <w:name w:val="Heading 5 Char"/>
    <w:basedOn w:val="12"/>
    <w:link w:val="7"/>
    <w:semiHidden/>
    <w:uiPriority w:val="9"/>
    <w:rPr>
      <w:rFonts w:eastAsiaTheme="majorEastAsia" w:cstheme="majorBidi"/>
      <w:color w:val="0F4761" w:themeColor="accent1" w:themeShade="BF"/>
    </w:rPr>
  </w:style>
  <w:style w:type="character" w:customStyle="1" w:styleId="36">
    <w:name w:val="Heading 6 Char"/>
    <w:basedOn w:val="12"/>
    <w:link w:val="8"/>
    <w:semiHidden/>
    <w:uiPriority w:val="9"/>
    <w:rPr>
      <w:rFonts w:eastAsiaTheme="majorEastAsia" w:cstheme="majorBidi"/>
      <w:i/>
      <w:iCs/>
      <w:color w:val="585858" w:themeColor="text1" w:themeTint="A6"/>
    </w:rPr>
  </w:style>
  <w:style w:type="character" w:customStyle="1" w:styleId="37">
    <w:name w:val="Heading 7 Char"/>
    <w:basedOn w:val="12"/>
    <w:link w:val="9"/>
    <w:semiHidden/>
    <w:uiPriority w:val="9"/>
    <w:rPr>
      <w:rFonts w:eastAsiaTheme="majorEastAsia" w:cstheme="majorBidi"/>
      <w:color w:val="585858" w:themeColor="text1" w:themeTint="A6"/>
    </w:rPr>
  </w:style>
  <w:style w:type="character" w:customStyle="1" w:styleId="38">
    <w:name w:val="Heading 8 Char"/>
    <w:basedOn w:val="12"/>
    <w:link w:val="10"/>
    <w:semiHidden/>
    <w:uiPriority w:val="9"/>
    <w:rPr>
      <w:rFonts w:eastAsiaTheme="majorEastAsia" w:cstheme="majorBidi"/>
      <w:i/>
      <w:iCs/>
      <w:color w:val="262626" w:themeColor="text1" w:themeTint="D8"/>
    </w:rPr>
  </w:style>
  <w:style w:type="character" w:customStyle="1" w:styleId="39">
    <w:name w:val="Heading 9 Char"/>
    <w:basedOn w:val="12"/>
    <w:link w:val="11"/>
    <w:semiHidden/>
    <w:uiPriority w:val="9"/>
    <w:rPr>
      <w:rFonts w:eastAsiaTheme="majorEastAsia" w:cstheme="majorBidi"/>
      <w:color w:val="262626" w:themeColor="text1" w:themeTint="D8"/>
    </w:rPr>
  </w:style>
  <w:style w:type="paragraph" w:customStyle="1" w:styleId="40">
    <w:name w:val="Footnote Block Text"/>
    <w:basedOn w:val="20"/>
    <w:next w:val="20"/>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uiPriority w:val="0"/>
    <w:pPr>
      <w:keepNext/>
      <w:keepLines/>
      <w:spacing w:after="0"/>
    </w:pPr>
    <w:rPr>
      <w:b/>
    </w:rPr>
  </w:style>
  <w:style w:type="paragraph" w:customStyle="1" w:styleId="43">
    <w:name w:val="Definition"/>
    <w:basedOn w:val="1"/>
    <w:uiPriority w:val="0"/>
  </w:style>
  <w:style w:type="paragraph" w:customStyle="1" w:styleId="44">
    <w:name w:val="Table Caption"/>
    <w:basedOn w:val="15"/>
    <w:uiPriority w:val="0"/>
    <w:pPr>
      <w:keepNext/>
    </w:pPr>
  </w:style>
  <w:style w:type="paragraph" w:customStyle="1" w:styleId="45">
    <w:name w:val="Image Caption"/>
    <w:basedOn w:val="15"/>
    <w:uiPriority w:val="0"/>
  </w:style>
  <w:style w:type="paragraph" w:customStyle="1" w:styleId="46">
    <w:name w:val="Figure"/>
    <w:basedOn w:val="1"/>
    <w:uiPriority w:val="0"/>
  </w:style>
  <w:style w:type="paragraph" w:customStyle="1" w:styleId="47">
    <w:name w:val="Captioned Figure"/>
    <w:basedOn w:val="46"/>
    <w:uiPriority w:val="0"/>
    <w:pPr>
      <w:keepNext/>
    </w:pPr>
  </w:style>
  <w:style w:type="character" w:customStyle="1" w:styleId="48">
    <w:name w:val="Verbatim Char"/>
    <w:basedOn w:val="19"/>
    <w:link w:val="49"/>
    <w:uiPriority w:val="0"/>
    <w:rPr>
      <w:rFonts w:ascii="Consolas" w:hAnsi="Consolas"/>
      <w:sz w:val="22"/>
    </w:rPr>
  </w:style>
  <w:style w:type="paragraph" w:customStyle="1" w:styleId="49">
    <w:name w:val="Source Code"/>
    <w:basedOn w:val="1"/>
    <w:link w:val="48"/>
    <w:uiPriority w:val="0"/>
    <w:pPr>
      <w:wordWrap w:val="0"/>
    </w:pPr>
  </w:style>
  <w:style w:type="character" w:customStyle="1" w:styleId="50">
    <w:name w:val="Section Number"/>
    <w:basedOn w:val="19"/>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uiPriority w:val="0"/>
    <w:rPr>
      <w:b/>
      <w:color w:val="007020"/>
    </w:rPr>
  </w:style>
  <w:style w:type="character" w:customStyle="1" w:styleId="53">
    <w:name w:val="DataTypeTok"/>
    <w:basedOn w:val="48"/>
    <w:uiPriority w:val="0"/>
    <w:rPr>
      <w:color w:val="902000"/>
    </w:rPr>
  </w:style>
  <w:style w:type="character" w:customStyle="1" w:styleId="54">
    <w:name w:val="DecValTok"/>
    <w:basedOn w:val="48"/>
    <w:uiPriority w:val="0"/>
    <w:rPr>
      <w:color w:val="40A070"/>
    </w:rPr>
  </w:style>
  <w:style w:type="character" w:customStyle="1" w:styleId="55">
    <w:name w:val="BaseNTok"/>
    <w:basedOn w:val="48"/>
    <w:uiPriority w:val="0"/>
    <w:rPr>
      <w:color w:val="40A070"/>
    </w:rPr>
  </w:style>
  <w:style w:type="character" w:customStyle="1" w:styleId="56">
    <w:name w:val="FloatTok"/>
    <w:basedOn w:val="48"/>
    <w:uiPriority w:val="0"/>
    <w:rPr>
      <w:color w:val="40A070"/>
    </w:rPr>
  </w:style>
  <w:style w:type="character" w:customStyle="1" w:styleId="57">
    <w:name w:val="ConstantTok"/>
    <w:basedOn w:val="48"/>
    <w:uiPriority w:val="0"/>
    <w:rPr>
      <w:color w:val="880000"/>
    </w:rPr>
  </w:style>
  <w:style w:type="character" w:customStyle="1" w:styleId="58">
    <w:name w:val="CharTok"/>
    <w:basedOn w:val="48"/>
    <w:uiPriority w:val="0"/>
    <w:rPr>
      <w:color w:val="4070A0"/>
    </w:rPr>
  </w:style>
  <w:style w:type="character" w:customStyle="1" w:styleId="59">
    <w:name w:val="SpecialCharTok"/>
    <w:basedOn w:val="48"/>
    <w:uiPriority w:val="0"/>
    <w:rPr>
      <w:color w:val="4070A0"/>
    </w:rPr>
  </w:style>
  <w:style w:type="character" w:customStyle="1" w:styleId="60">
    <w:name w:val="StringTok"/>
    <w:basedOn w:val="48"/>
    <w:uiPriority w:val="0"/>
    <w:rPr>
      <w:color w:val="4070A0"/>
    </w:rPr>
  </w:style>
  <w:style w:type="character" w:customStyle="1" w:styleId="61">
    <w:name w:val="VerbatimStringTok"/>
    <w:basedOn w:val="48"/>
    <w:uiPriority w:val="0"/>
    <w:rPr>
      <w:color w:val="4070A0"/>
    </w:rPr>
  </w:style>
  <w:style w:type="character" w:customStyle="1" w:styleId="62">
    <w:name w:val="SpecialStringTok"/>
    <w:basedOn w:val="48"/>
    <w:uiPriority w:val="0"/>
    <w:rPr>
      <w:color w:val="BB6688"/>
    </w:rPr>
  </w:style>
  <w:style w:type="character" w:customStyle="1" w:styleId="63">
    <w:name w:val="ImportTok"/>
    <w:basedOn w:val="48"/>
    <w:uiPriority w:val="0"/>
    <w:rPr>
      <w:b/>
      <w:color w:val="008000"/>
    </w:rPr>
  </w:style>
  <w:style w:type="character" w:customStyle="1" w:styleId="64">
    <w:name w:val="CommentTok"/>
    <w:basedOn w:val="48"/>
    <w:uiPriority w:val="0"/>
    <w:rPr>
      <w:i/>
      <w:color w:val="60A0B0"/>
    </w:rPr>
  </w:style>
  <w:style w:type="character" w:customStyle="1" w:styleId="65">
    <w:name w:val="DocumentationTok"/>
    <w:basedOn w:val="48"/>
    <w:uiPriority w:val="0"/>
    <w:rPr>
      <w:i/>
      <w:color w:val="BA2121"/>
    </w:rPr>
  </w:style>
  <w:style w:type="character" w:customStyle="1" w:styleId="66">
    <w:name w:val="AnnotationTok"/>
    <w:basedOn w:val="48"/>
    <w:uiPriority w:val="0"/>
    <w:rPr>
      <w:b/>
      <w:i/>
      <w:color w:val="60A0B0"/>
    </w:rPr>
  </w:style>
  <w:style w:type="character" w:customStyle="1" w:styleId="67">
    <w:name w:val="CommentVarTok"/>
    <w:basedOn w:val="48"/>
    <w:uiPriority w:val="0"/>
    <w:rPr>
      <w:b/>
      <w:i/>
      <w:color w:val="60A0B0"/>
    </w:rPr>
  </w:style>
  <w:style w:type="character" w:customStyle="1" w:styleId="68">
    <w:name w:val="OtherTok"/>
    <w:basedOn w:val="48"/>
    <w:uiPriority w:val="0"/>
    <w:rPr>
      <w:color w:val="007020"/>
    </w:rPr>
  </w:style>
  <w:style w:type="character" w:customStyle="1" w:styleId="69">
    <w:name w:val="FunctionTok"/>
    <w:basedOn w:val="48"/>
    <w:uiPriority w:val="0"/>
    <w:rPr>
      <w:color w:val="06287E"/>
    </w:rPr>
  </w:style>
  <w:style w:type="character" w:customStyle="1" w:styleId="70">
    <w:name w:val="VariableTok"/>
    <w:basedOn w:val="48"/>
    <w:uiPriority w:val="0"/>
    <w:rPr>
      <w:color w:val="19177C"/>
    </w:rPr>
  </w:style>
  <w:style w:type="character" w:customStyle="1" w:styleId="71">
    <w:name w:val="ControlFlowTok"/>
    <w:basedOn w:val="48"/>
    <w:uiPriority w:val="0"/>
    <w:rPr>
      <w:b/>
      <w:color w:val="007020"/>
    </w:rPr>
  </w:style>
  <w:style w:type="character" w:customStyle="1" w:styleId="72">
    <w:name w:val="OperatorTok"/>
    <w:basedOn w:val="48"/>
    <w:uiPriority w:val="0"/>
    <w:rPr>
      <w:color w:val="666666"/>
    </w:rPr>
  </w:style>
  <w:style w:type="character" w:customStyle="1" w:styleId="73">
    <w:name w:val="BuiltInTok"/>
    <w:basedOn w:val="48"/>
    <w:uiPriority w:val="0"/>
    <w:rPr>
      <w:color w:val="008000"/>
    </w:rPr>
  </w:style>
  <w:style w:type="character" w:customStyle="1" w:styleId="74">
    <w:name w:val="ExtensionTok"/>
    <w:basedOn w:val="48"/>
    <w:uiPriority w:val="0"/>
  </w:style>
  <w:style w:type="character" w:customStyle="1" w:styleId="75">
    <w:name w:val="PreprocessorTok"/>
    <w:basedOn w:val="48"/>
    <w:uiPriority w:val="0"/>
    <w:rPr>
      <w:color w:val="BC7A00"/>
    </w:rPr>
  </w:style>
  <w:style w:type="character" w:customStyle="1" w:styleId="76">
    <w:name w:val="AttributeTok"/>
    <w:basedOn w:val="48"/>
    <w:uiPriority w:val="0"/>
    <w:rPr>
      <w:color w:val="7D9029"/>
    </w:rPr>
  </w:style>
  <w:style w:type="character" w:customStyle="1" w:styleId="77">
    <w:name w:val="RegionMarkerTok"/>
    <w:basedOn w:val="48"/>
    <w:uiPriority w:val="0"/>
  </w:style>
  <w:style w:type="character" w:customStyle="1" w:styleId="78">
    <w:name w:val="InformationTok"/>
    <w:basedOn w:val="48"/>
    <w:uiPriority w:val="0"/>
    <w:rPr>
      <w:b/>
      <w:i/>
      <w:color w:val="60A0B0"/>
    </w:rPr>
  </w:style>
  <w:style w:type="character" w:customStyle="1" w:styleId="79">
    <w:name w:val="WarningTok"/>
    <w:basedOn w:val="48"/>
    <w:uiPriority w:val="0"/>
    <w:rPr>
      <w:b/>
      <w:i/>
      <w:color w:val="60A0B0"/>
    </w:rPr>
  </w:style>
  <w:style w:type="character" w:customStyle="1" w:styleId="80">
    <w:name w:val="AlertTok"/>
    <w:basedOn w:val="48"/>
    <w:uiPriority w:val="0"/>
    <w:rPr>
      <w:b/>
      <w:color w:val="FF0000"/>
    </w:rPr>
  </w:style>
  <w:style w:type="character" w:customStyle="1" w:styleId="81">
    <w:name w:val="ErrorTok"/>
    <w:basedOn w:val="48"/>
    <w:uiPriority w:val="0"/>
    <w:rPr>
      <w:b/>
      <w:color w:val="FF0000"/>
    </w:rPr>
  </w:style>
  <w:style w:type="character" w:customStyle="1" w:styleId="82">
    <w:name w:val="NormalTok"/>
    <w:basedOn w:val="48"/>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83</Words>
  <Characters>475</Characters>
  <Lines>12</Lines>
  <Paragraphs>8</Paragraphs>
  <TotalTime>7</TotalTime>
  <ScaleCrop>false</ScaleCrop>
  <LinksUpToDate>false</LinksUpToDate>
  <CharactersWithSpaces>583</CharactersWithSpaces>
  <Application>WPS Office_12.1.23141.23141_F1E327BC-269C-435d-A152-05C5408002CA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2026-08-26T21:01:00Z</dcterms:created>
  <dc:creator>奶黄包</dc:creator>
  <cp:lastModifiedBy>奶黄包</cp:lastModifiedBy>
  <dcterms:modified xsi:type="dcterms:W3CDTF">2026-08-27T17:37:44Z</dcterms:modified>
  <dc:title>Research Proposal</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1033-12.1.23141.23141</vt:lpwstr>
  </property>
  <property fmtid="{D5CDD505-2E9C-101B-9397-08002B2CF9AE}" pid="3" name="ICV">
    <vt:lpwstr>D4507FBB1507C6DF6805906A61718CF3_42</vt:lpwstr>
  </property>
</Properties>
</file>