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#102 (c1)</w:t>
      </w:r>
    </w:p>
    <w:p>
      <w:r>
        <w:t xml:space="preserve">Prompt: </w:t>
      </w:r>
    </w:p>
    <w:p>
      <w:r>
        <w:t>--------------------</w:t>
      </w:r>
    </w:p>
    <w:p>
      <w:r>
        <w:t>Some people argue that practical life experiences are the most effective method for acquiring knowledge, surpassing the value of academic study. In my opinion, I strongly agree with the view that experience is the best teacher and life experiences teach more effectively than formal education. This essay will provide two reasons supporting my idea.</w:t>
        <w:br/>
        <w:br/>
        <w:t>Practical exposure provides invaluable lessons that cannot be replicated in a classroom setting. In other words, real-world situations force individuals to apply theoretical knowledge immediately. For instance, managing a sudden financial crisis teaches budgeting skills far better than reading a textbook. As a result, people develop crucial problem-solving abilities and financial resilience. Hence, it becomes evident that hands-on involvement significantly accelerates personal development.</w:t>
        <w:br/>
        <w:br/>
        <w:t>Another reason is that life experiences build emotional intelligence and adaptability. This is primarily due to the fact that navigating complex social dynamics requires emotional maturity. This can be exemplified by the fact that dealing with workplace conflict necessitates empathy and negotiation. The outcome is that individuals become more adept at understanding human motivations and managing stress. This clearly aligns with the view that practical exposure is superior to theoretical learning.</w:t>
        <w:br/>
        <w:br/>
        <w:t>In conclusion, I strongly agree that practical life experiences are the best teacher. The necessity of hands-on involvement and the development of emotional intelligence confirm that real-world exposure surpasses formal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