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#102 (c1)</w:t>
      </w:r>
    </w:p>
    <w:p>
      <w:r>
        <w:t xml:space="preserve">Prompt: </w:t>
      </w:r>
    </w:p>
    <w:p>
      <w:r>
        <w:t>--------------------</w:t>
      </w:r>
    </w:p>
    <w:p>
      <w:r>
        <w:t>Some people maintain that life experiences are the most effective method for acquiring knowledge, surpassing the value of academic study. In my opinion, I strongly disagree with disagree. This essay will provide two reasons supporting my idea.</w:t>
        <w:br/>
        <w:br/>
        <w:t>Formal education provides valuable theoretical knowledge, yet it often fails to prepare students for the complexities of real life. In other words, academic settings tend to focus on abstract concepts rather than practical application. For instance, a student might learn economic theories about market crashes, but never experience the stress of a genuine financial downturn. As a result, the theoretical understanding remains detached from the emotional and logistical challenges of actual work. Hence, it becomes evident that practical exposure is crucial for developing true competence.</w:t>
        <w:br/>
        <w:br/>
        <w:t>Furthermore, self-directed learning through life events builds essential emotional intelligence and resilience. This is primarily due to the fact that navigating personal challenges forces individuals to develop coping mechanisms independently. This can be exemplified by the fact that overcoming a significant personal setback, such as job loss, teaches valuable lessons about perseverance. The outcome is that individuals gain a deep sense of self-reliance and adaptability that no classroom can replicate. This clearly aligns with the view that practical exposure is indispensable for personal growth.</w:t>
        <w:br/>
        <w:br/>
        <w:t>In conclusion, I strongly disagree with disagree. This is clear from formal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