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#104 (c1)</w:t>
      </w:r>
    </w:p>
    <w:p>
      <w:r>
        <w:t xml:space="preserve">Prompt: </w:t>
      </w:r>
    </w:p>
    <w:p>
      <w:r>
        <w:t>--------------------</w:t>
      </w:r>
    </w:p>
    <w:p>
      <w:r>
        <w:t>The decline in journalistic quality, often termed lazy journalism, represents a significant challenge to informed public discourse. In my opinion, I strongly agree with the view that lazy journalism is caused by digitalization and must be addressed. This essay will provide two reasons supporting my idea.</w:t>
        <w:br/>
        <w:br/>
        <w:t>The major reason is the pervasive influence of digital platforms on news consumption. In other words, the shift towards rapid, bite-sized content has diminished the incentive for deep investigative reporting. For instance, online news feeds prioritize sensational headlines over nuanced analysis, encouraging superficial coverage. As a result, journalists may feel compelled to publish quick, easily digestible articles rather than thorough, complex investigations. Hence, it becomes evident that the digital environment inherently promotes superficiality in media output.</w:t>
        <w:br/>
        <w:br/>
        <w:t>One effective solution is the implementation of rigorous journalistic standards by educational institutions. This is primarily due to the fact that professional training must emphasize ethical responsibility and comprehensive research methods. This can be exemplified by the fact that universities could mandate advanced coursework focusing on fact-checking and source verification. The outcome is that future journalists would possess the necessary skills to resist the temptation of superficial reporting. This clearly aligns with the view that professional education is crucial for maintaining journalistic integrity.</w:t>
        <w:br/>
        <w:br/>
        <w:t>In conclusion, I strongly agree that lazy journalism is a serious issue. Addressing this requires recognizing the digital platforms' influence and promoting rigorous journalistic standards to restore quality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