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#108 (c1)</w:t>
      </w:r>
    </w:p>
    <w:p>
      <w:r>
        <w:t xml:space="preserve">Prompt: </w:t>
      </w:r>
    </w:p>
    <w:p>
      <w:r>
        <w:t>--------------------</w:t>
      </w:r>
    </w:p>
    <w:p>
      <w:r>
        <w:t>Air pollution represents a significant global challenge, necessitating immediate and comprehensive policy interventions. In my opinion, I strongly agree with the view that increasing fuel prices is the only way to reduce air pollution. This essay will provide two reasons supporting my idea.</w:t>
        <w:br/>
        <w:br/>
        <w:t>Raising fuel prices serves as a powerful economic incentive for consumers to adopt cleaner alternatives. In other words, higher costs associated with fossil fuels encourage a shift towards more sustainable transportation methods. For instance, individuals might opt for cycling or utilizing public transit instead of driving a private vehicle. As a result, the overall demand for gasoline decreases, thereby reducing emissions from combustion engines. Hence, it becomes evident that economic disincentives are crucial for mitigating air pollution.</w:t>
        <w:br/>
        <w:br/>
        <w:t>Furthermore, increasing fuel prices compel industries to invest in cleaner operational technologies. This is primarily due to the fact that businesses face increased overhead costs when relying on polluting energy sources. This can be exemplified by the fact that manufacturers might switch to electric machinery or adopt renewable energy sources. The outcome is that the pollution generated by industrial processes diminishes significantly, improving local air quality. This clearly aligns with the view that economic mechanisms are essential for achieving environmental sustainability.</w:t>
        <w:br/>
        <w:br/>
        <w:t>In conclusion, I strongly agree that increasing fuel prices is the only way to reduce air pollution. Implementing such measures encourages the adoption of cleaner alternatives and compels industries to invest in sustainable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