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#108 (c1)</w:t>
      </w:r>
    </w:p>
    <w:p>
      <w:r>
        <w:t xml:space="preserve">Prompt: </w:t>
      </w:r>
    </w:p>
    <w:p>
      <w:r>
        <w:t>--------------------</w:t>
      </w:r>
    </w:p>
    <w:p>
      <w:r>
        <w:t>Air pollution presents a significant global challenge, necessitating comprehensive and multifaceted strategies for mitigation. In my opinion, I strongly disagree with the view that there are other ways to reduce air pollution besides increasing fuel prices. This essay will provide two reasons supporting my idea.</w:t>
        <w:br/>
        <w:br/>
        <w:t>Implementing stringent industrial regulations offers a highly effective pathway to improving air quality. In other words, governmental oversight can mandate cleaner technologies and operational standards across various sectors. For instance, requiring factories to install advanced filtration systems drastically reduces particulate matter emissions. As a result, the concentration of harmful pollutants in urban environments diminishes substantially. Hence, it becomes evident that regulatory action provides a powerful alternative to solely economic measures.</w:t>
        <w:br/>
        <w:br/>
        <w:t>Investing in public transportation infrastructure provides a sustainable solution for reducing vehicular emissions. This is primarily due to the fact that robust public transit systems encourage citizens to abandon private vehicle use. This can be exemplified by the fact that cities like Copenhagen have successfully integrated extensive cycling paths and efficient metro lines. The outcome is that traffic congestion lessens, and the overall volume of exhaust fumes entering the atmosphere decreases significantly. This clearly aligns with the view that systemic urban planning offers substantial environmental benefits.</w:t>
        <w:br/>
        <w:br/>
        <w:t>In conclusion, I strongly disagree with the view that there are other ways to reduce air pollution besides increasing fuel prices. Comprehensive industrial regulations and investments in public transportation infrastructure represent equally vital and effective strategies for improving global air quality.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