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 (c1)</w:t>
      </w:r>
    </w:p>
    <w:p>
      <w:r>
        <w:t xml:space="preserve">Prompt: </w:t>
      </w:r>
    </w:p>
    <w:p>
      <w:r>
        <w:t>--------------------</w:t>
      </w:r>
    </w:p>
    <w:p>
      <w:r>
        <w:t>The methods by which people exchange information have undergone considerable transformation over the past decade. In my opinion, I strongly agree with the view that changes in communication have more positive impacts than negative impacts. This essay will provide two reasons supporting my idea.</w:t>
        <w:br/>
        <w:br/>
        <w:t>On the one hand, modern communication technologies have significantly enhanced global connectivity. In other words, people can maintain relationships and share information across vast geographical distances with ease. For instance, video calls allow family members separated by continents to interact as if they were in the same room. As a result, the sense of isolation is greatly diminished, fostering a stronger sense of community. Hence, it becomes evident that these tools promote unprecedented levels of global connection.</w:t>
        <w:br/>
        <w:br/>
        <w:t>On the other hand, the reliance on digital platforms presents a notable drawback to genuine interpersonal skills. This is primarily due to the fact that mediated interaction often lacks the nuance of face-to-face conversation. This can be exemplified by the fact that complex emotions or subtle body language cues are frequently lost in text-based exchanges. The outcome is that individuals may struggle to interpret non-verbal signals, leading to misunderstandings. This clearly aligns with the view that such digital habits can weaken deep human engagement.</w:t>
        <w:br/>
        <w:br/>
        <w:t>In conclusion, I strongly agree with the view that changes in communication have more positive impacts than negative impacts. This is because modern technologies facilitate unprecedented global connectivity, while simultaneously presenting challenges to the development of nuanced interpersonal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