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#110 (c1)</w:t>
      </w:r>
    </w:p>
    <w:p>
      <w:r>
        <w:t xml:space="preserve">Prompt: </w:t>
      </w:r>
    </w:p>
    <w:p>
      <w:r>
        <w:t>--------------------</w:t>
      </w:r>
    </w:p>
    <w:p>
      <w:r>
        <w:t>When seeking employment, some individuals prioritize financial compensation, while others place greater value on the working environment. In my opinion, I strongly agree with agree. This essay will provide two reasons supporting my idea.</w:t>
        <w:br/>
        <w:br/>
        <w:t>Focusing on salary, many people believe that high income is the primary determinant of job satisfaction. In other words, substantial pay allows individuals to achieve financial security and meet their material needs. For instance, a high salary enables one to afford better housing and educational opportunities for their family. As a result, financial stability reduces stress and provides a sense of security, which is crucial for overall well-being. Hence, it becomes evident that adequate remuneration is a fundamental requirement for a stable life.</w:t>
        <w:br/>
        <w:br/>
        <w:t>Conversely, some argue that the quality of the work environment is more important than the paycheck. This is primarily due to the fact that a positive workplace culture significantly impacts daily morale and productivity. This can be exemplified by the fact that supportive colleagues and manageable hours reduce burnout and increase job fulfillment. The outcome is that employees feel valued and motivated to contribute their best efforts, regardless of the exact salary. This clearly aligns with the view that job satisfaction stems from the overall work experience.</w:t>
        <w:br/>
        <w:br/>
        <w:t>In conclusion, I strongly agree with agree. This is clear from focusing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