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#111 (c1)</w:t>
      </w:r>
    </w:p>
    <w:p>
      <w:r>
        <w:t xml:space="preserve">Prompt: </w:t>
      </w:r>
    </w:p>
    <w:p>
      <w:r>
        <w:t>--------------------</w:t>
      </w:r>
    </w:p>
    <w:p>
      <w:r>
        <w:t>The increasing availability of electronic readers and digital books has prompted a debate regarding the relevance of traditional printed literature. In my opinion, I strongly disagree with disagree. This essay will provide two reasons supporting my idea.</w:t>
        <w:br/>
        <w:br/>
        <w:t>Physical books offer a unique sensory experience that digital formats cannot replicate. In other words, the tactile interaction with paper and binding contributes significantly to the reading process. For instance, the weight and smell of a physical book can enhance the reader's engagement with the material. As a result, many people report a deeper connection to the narrative when using a tangible object. Hence, it becomes evident that the physical nature of books provides an irreplaceable element of literary enjoyment.</w:t>
        <w:br/>
        <w:br/>
        <w:t>Furthermore, owning physical books supports the preservation of cultural heritage and scholarly research. This is primarily due to the fact that printed copies are often preferred for long-term archiving methods. This can be exemplified by the fact that university libraries maintain vast collections of printed texts for historical accuracy. The outcome is that these physical archives provide reliable sources for future generations of scholars. This clearly aligns with the view that paper books are essential tools for academic study.</w:t>
        <w:br/>
        <w:br/>
        <w:t>In conclusion, I strongly disagree with disagree. This is clear from physical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