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#113 (b2)</w:t>
      </w:r>
    </w:p>
    <w:p>
      <w:r>
        <w:t xml:space="preserve">Prompt: </w:t>
      </w:r>
    </w:p>
    <w:p>
      <w:r>
        <w:t>--------------------</w:t>
      </w:r>
    </w:p>
    <w:p>
      <w:r>
        <w:t>There are two different views on how young people should spend their time: focusing on study or work, or putting energy into broadening their experiences. In my opinion, I strongly agree with agree. This essay will provide two reasons supporting my idea.</w:t>
        <w:br/>
        <w:br/>
        <w:t>On the one hand, focusing on study or work is a sensible approach for young people. In other words, this path helps individuals build a stable foundation for their future lives. For instance, completing a degree or getting a job teaches valuable skills needed in the professional world. As a result, graduates often find better job opportunities and a clearer career path. Hence, it becomes evident that academic focus provides necessary structure for adult life.</w:t>
        <w:br/>
        <w:br/>
        <w:t>On the other hand, broadening experience through activities like travel or volunteering is also important. This is primarily due to the fact that these activities teach people about different cultures and ways of life. This can be exemplified by the fact that volunteering in another country helps people develop empathy and independence. The outcome is that young people gain self-discovery and a broader view of the world. This clearly aligns with the view that personal growth comes from real-world experiences.</w:t>
        <w:br/>
        <w:br/>
        <w:t>In conclusion, I strongly agree with agree. This is clear from hand and 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