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#113 (c1)</w:t>
      </w:r>
    </w:p>
    <w:p>
      <w:r>
        <w:t xml:space="preserve">Prompt: </w:t>
      </w:r>
    </w:p>
    <w:p>
      <w:r>
        <w:t>--------------------</w:t>
      </w:r>
    </w:p>
    <w:p>
      <w:r>
        <w:t>There are differing perspectives regarding whether young people should prioritize academic study or professional work, or if they should focus on broadening their experiences through activities like travel and volunteering. In my opinion, I strongly agree with agree. This essay will provide two reasons supporting my idea.</w:t>
        <w:br/>
        <w:br/>
        <w:t>On the one hand, focusing on academic study and professional work provides a structured pathway for young people. In other words, these commitments build foundational knowledge and specialized skills necessary for employment. For instance, completing a degree in engineering equips individuals with technical expertise and theoretical understanding. As a result, graduates are highly sought after by employers, leading to stable career trajectories. Hence, it becomes evident that dedicated focus on education and career development is crucial for establishing a solid foundation.</w:t>
        <w:br/>
        <w:br/>
        <w:t>On the other hand, prioritizing experiences such as international travel and volunteering offers unique forms of personal development. This is primarily due to the fact that exposure to diverse cultures fosters adaptability and global awareness. This can be exemplified by the fact that volunteering in a foreign country requires problem-solving and cross-cultural communication. The outcome is that individuals gain self-reliance and a broader perspective on global issues. This clearly aligns with the view that experiential learning is vital for comprehensive personal growth.</w:t>
        <w:br/>
        <w:br/>
        <w:t>In conclusion, I strongly agree with agree. This is clear from hand and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