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#114 (c1)</w:t>
      </w:r>
    </w:p>
    <w:p>
      <w:r>
        <w:t xml:space="preserve">Prompt: </w:t>
      </w:r>
    </w:p>
    <w:p>
      <w:r>
        <w:t>--------------------</w:t>
      </w:r>
    </w:p>
    <w:p>
      <w:r>
        <w:t>Maintaining a healthy lifestyle is crucial for overall well-being, and poor habits can significantly compromise physical health. In my opinion, I strongly agree with the view that poor lifestyles negatively impact health and government must help. This essay will provide two reasons supporting my idea.</w:t>
        <w:br/>
        <w:br/>
        <w:t>The major reason is the increasing prevalence of sedentary habits and poor dietary choices. In other words, many people spend excessive time sitting and consume highly processed foods. For instance, office workers often neglect physical activity, choosing to sit for extended periods. As a result, the risk of developing chronic illnesses, such as heart disease, significantly increases. Hence, it becomes evident that poor physical activity levels are a major health concern.</w:t>
        <w:br/>
        <w:br/>
        <w:t>One effective solution is for governments to implement comprehensive public health initiatives. This is primarily due to the fact that such programs can educate citizens on proper nutrition and exercise routines. This can be exemplified by the fact that subsidized community gyms and walking trails are made available to all residents. The outcome is that people are encouraged to adopt healthier habits, thereby improving community wellness. This clearly aligns with the view that governmental support is essential for lifestyle modification.</w:t>
        <w:br/>
        <w:br/>
        <w:t>In conclusion, I strongly agree with the view that poor lifestyles negatively impact health and government must help. This is because sedentary habits and poor dietary choices contribute to chronic illnesses, necessitating governmental initiatives to educate citizens and promote physical activity.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