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(b2)</w:t>
      </w:r>
    </w:p>
    <w:p>
      <w:r>
        <w:t xml:space="preserve">Prompt: </w:t>
      </w:r>
    </w:p>
    <w:p>
      <w:r>
        <w:t>--------------------</w:t>
      </w:r>
    </w:p>
    <w:p>
      <w:r>
        <w:t>Governments must decide where to spend their money among climate change, education, and public health. In my opinion, I strongly agree with agree. This essay will provide two reasons supporting my idea.</w:t>
        <w:br/>
        <w:br/>
        <w:t>Focusing funds on climate change is a necessary step for global survival. In other words, the planet faces serious environmental problems that need immediate attention in everyday life in everyday life in everyday life in everyday life. For instance, rising sea levels threaten coastal cities and farming areas. As a result, many communities will lose their homes and food sources. Hence, it becomes evident that climate action must be a top priority for governments.</w:t>
        <w:br/>
        <w:br/>
        <w:t>Another area needing government funds is public health care. This is primarily due to the fact that good health is key to a productive society in everyday life in everyday life in everyday life. This can be exemplified by the fact that pandemics require large amounts of money for vaccines and treatment. The outcome is that people can recover faster and the economy can keep running. This clearly aligns with the view that public health is a vital area for government spending.</w:t>
        <w:br/>
        <w:br/>
        <w:t>In conclusion, I strongly agree with agree. This is clear from focusing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