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#115 (c1)</w:t>
      </w:r>
    </w:p>
    <w:p>
      <w:r>
        <w:t xml:space="preserve">Prompt: </w:t>
      </w:r>
    </w:p>
    <w:p>
      <w:r>
        <w:t>--------------------</w:t>
      </w:r>
    </w:p>
    <w:p>
      <w:r>
        <w:t>Governments face the complex challenge of determining which critical areas require the allocation of public funds. In my opinion, I strongly agree with agree. This essay will provide two reasons supporting my idea.</w:t>
        <w:br/>
        <w:br/>
        <w:t>Prioritizing funds for climate change mitigation is paramount for global stability. In other words, addressing the escalating environmental crisis must take precedence over other sectors in everyday life in everyday life. For instance, investing in renewable energy infrastructure helps reduce carbon emissions significantly. As a result, communities become more resilient to extreme weather events and resource scarcity. Hence, it becomes evident that climate action forms the foundational requirement for sustainable development.</w:t>
        <w:br/>
        <w:br/>
        <w:t>Furthermore, governments must allocate substantial funds toward public health initiatives. This is primarily due to the fact that robust health systems are essential for a productive citizenry in everyday life in everyday life. This can be exemplified by the fact that pandemic preparedness requires massive investment in medical facilities and research. The outcome is that populations maintain a higher quality of life and can recover swiftly from health crises. This clearly aligns with the view that public health underpins societal stability and economic growth.</w:t>
        <w:br/>
        <w:br/>
        <w:t>In conclusion, I strongly agree with 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