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(c1)</w:t>
      </w:r>
    </w:p>
    <w:p>
      <w:r>
        <w:t xml:space="preserve">Prompt: </w:t>
      </w:r>
    </w:p>
    <w:p>
      <w:r>
        <w:t>--------------------</w:t>
      </w:r>
    </w:p>
    <w:p>
      <w:r>
        <w:t>Governments face difficult decisions regarding how to allocate limited financial resources among various critical sectors. In my opinion, I strongly disagree with disagree. This essay will provide two reasons supporting my idea.</w:t>
        <w:br/>
        <w:br/>
        <w:t>Prioritizing educational funding is paramount for fostering a knowledgeable and productive citizenry. In other words, robust educational systems equip individuals with the necessary skills for professional advancement. For instance, investing in local schools ensures that students from all socioeconomic backgrounds have access to quality learning materials. As a result, a highly educated populace contributes to a stronger, more innovative national economy. Hence, it becomes evident that educational investment yields substantial long-term societal returns.</w:t>
        <w:br/>
        <w:br/>
        <w:t>Another critical area for government expenditure is the enhancement of public health infrastructure. This is primarily due to the fact that preventative care significantly reduces the burden of chronic illness on the population. This can be exemplified by the fact that establishing community health centers allows for early detection of diseases. The outcome is that citizens maintain a higher quality of life, which subsequently boosts workforce participation. This clearly aligns with the view that public health is foundational to national stability.</w:t>
        <w:br/>
        <w:br/>
        <w:t>In conclusion, I strongly disagree with disagree. This is clear from prioritizing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