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#116 (c1)</w:t>
      </w:r>
    </w:p>
    <w:p>
      <w:r>
        <w:t xml:space="preserve">Prompt: </w:t>
      </w:r>
    </w:p>
    <w:p>
      <w:r>
        <w:t>--------------------</w:t>
      </w:r>
    </w:p>
    <w:p>
      <w:r>
        <w:t>The accessibility and affordability of public transportation systems are crucial elements for maintaining a functional and equitable urban environment. In my opinion, I strongly agree with the view that cheaper public transportation has more advantages than problems. This essay will provide two reasons supporting my idea.</w:t>
        <w:br/>
        <w:br/>
        <w:t>Affordable public transport significantly enhances the mobility of low-income citizens. In other words, reduced fares make commuting feasible for individuals who might otherwise struggle with the cost of private vehicles. For instance, a student from a low-income background can reliably reach educational institutions without incurring substantial fuel or maintenance expenses. As a result, these individuals can pursue their academic goals and contribute more effectively to the economy. Hence, it becomes evident that cheaper public transport promotes social inclusion and economic opportunity.</w:t>
        <w:br/>
        <w:br/>
        <w:t>Improved public transport access helps mitigate environmental degradation within metropolitan areas. This is primarily due to the fact that more people are inclined to leave their cars at home when viable alternatives are available. This can be exemplified by the fact that a city implementing low-cost bus routes sees a noticeable decrease in the number of private combustion engines on its streets. The outcome is that air quality improves substantially, leading to better public health outcomes for the entire population. This clearly aligns with the view that affordable public transport is vital for ecological sustainability.</w:t>
        <w:br/>
        <w:br/>
        <w:t>In conclusion, I strongly agree that cheaper public transportation offers substantial advantages. Enhancing the mobility of low-income citizens and mitigating environmental degradation are two compelling reasons supporting this stance.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