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#118 (c1)</w:t>
      </w:r>
    </w:p>
    <w:p>
      <w:r>
        <w:t xml:space="preserve">Prompt: </w:t>
      </w:r>
    </w:p>
    <w:p>
      <w:r>
        <w:t>--------------------</w:t>
      </w:r>
    </w:p>
    <w:p>
      <w:r>
        <w:t>The decision between purchasing a residential house or establishing a commercial business is a significant financial choice. In my opinion, I strongly agree with agree. This essay will provide two reasons supporting my idea.</w:t>
        <w:br/>
        <w:br/>
        <w:t>Acquiring a house provides a foundation for long-term stability and personal comfort. In other words, a home offers a secure place for one's family to reside and grow. For instance, owning a house allows occupants to customize the living space according to their evolving needs. As a result, the owner gains a tangible asset that can appreciate over many years. Hence, it becomes evident that a house provides unmatched personal security and lifestyle benefits.</w:t>
        <w:br/>
        <w:br/>
        <w:t>Investing in a business offers substantial potential for financial growth and independence. This is primarily due to the fact that a successful venture allows an individual to generate substantial income. This can be exemplified by the fact that a small shop can create numerous job opportunities within a local community. The outcome is that the owner builds a scalable enterprise that supports continuous income streams. This clearly aligns with the view that a business offers superior opportunities for wealth generation.</w:t>
        <w:br/>
        <w:br/>
        <w:t>In conclusion, I strongly agree with agree. This is clear from acquiring and investing.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