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#118 (c1)</w:t>
      </w:r>
    </w:p>
    <w:p>
      <w:r>
        <w:t xml:space="preserve">Prompt: </w:t>
      </w:r>
    </w:p>
    <w:p>
      <w:r>
        <w:t>--------------------</w:t>
      </w:r>
    </w:p>
    <w:p>
      <w:r>
        <w:t>When presented with sufficient funds, the choice between acquiring a residential house or establishing a commercial business is a significant decision. In my opinion, I strongly disagree with disagree. This essay will provide two reasons supporting my idea.</w:t>
        <w:br/>
        <w:br/>
        <w:t>Investing in a business presents superior opportunities for financial growth. In other words, a commercial venture offers greater potential for generating substantial income. For instance, opening a specialized retail shop allows the owner to capitalize on local market demand. As a result, the revenue stream can expand far beyond the fixed income generated by a property. Hence, it becomes evident that a business provides a more dynamic path toward financial solvency.</w:t>
        <w:br/>
        <w:br/>
        <w:t>Furthermore, starting a business provides greater personal fulfillment and control over one's career. This is primarily due to the fact that an entrepreneurial venture allows for direct influence on daily operations. This can be exemplified by the fact that a small business owner dictates the operational scope and strategic direction. The outcome is that the individual gains a profound sense of accomplishment and self-determination. This clearly aligns with the view that a business offers superior personal reward.</w:t>
        <w:br/>
        <w:br/>
        <w:t>In conclusion, I strongly disagree with disagree. This is clear from investing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