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 (c1)</w:t>
      </w:r>
    </w:p>
    <w:p>
      <w:r>
        <w:t xml:space="preserve">Prompt: </w:t>
      </w:r>
    </w:p>
    <w:p>
      <w:r>
        <w:t>--------------------</w:t>
      </w:r>
    </w:p>
    <w:p>
      <w:r>
        <w:t>Culture shock presents a significant concern that may consequently reduce the flow of immigration into new regions. In my opinion, I strongly agree with the view that culture shock can be reduced through language support and community programs. This essay will provide two reasons supporting my idea.</w:t>
        <w:br/>
        <w:br/>
        <w:t>The major reason is the difficulty immigrants face when adjusting to a new cultural environment. In other words, the unfamiliar customs and social norms can create considerable stress for newcomers. For instance, a person might struggle with local etiquette, such as dining customs or greetings. As a result, the feeling of isolation can negatively impact mental well-being and integration efforts. Hence, it becomes evident that cultural unfamiliarity poses a substantial barrier to settlement.</w:t>
        <w:br/>
        <w:br/>
        <w:t>One effective solution is providing comprehensive language and cultural orientation programs. This is primarily due to the fact that linguistic barriers severely limit an individual's ability to participate in daily life. This can be exemplified by the fact that mandatory language classes help immigrants build confidence and connect with the local community. The outcome is that participants gain the necessary tools to navigate both professional and social spheres successfully. This clearly aligns with the view that structured support systems are vital for successful acculturation.</w:t>
        <w:br/>
        <w:br/>
        <w:t>In conclusion, I strongly agree with the view that culture shock can be reduced through language support and community programs. This is because structured language instruction equips individuals with necessary communication tools, while community programs mitigate the challenges associated with unfamiliar social norms and customs.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