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#121 (b2)</w:t>
      </w:r>
    </w:p>
    <w:p>
      <w:r>
        <w:t xml:space="preserve">Prompt: </w:t>
      </w:r>
    </w:p>
    <w:p>
      <w:r>
        <w:t>--------------------</w:t>
      </w:r>
    </w:p>
    <w:p>
      <w:r>
        <w:t>Some people believe that computer and online games should be banned for students in schools because they do not offer educational value. In my opinion, I strongly disagree with the view that computer and online games should not be banned in schools because they can have educational value. This essay will provide two reasons supporting my idea.</w:t>
        <w:br/>
        <w:br/>
        <w:t>One clear advantage is that games can help students develop important skills. In other words, these games teach problem-solving and critical thinking. For instance, a strategy game requires players to plan moves and think ahead. As a result, students learn how to manage resources and make good decisions. Hence, it becomes evident that games are useful tools for skill development.</w:t>
        <w:br/>
        <w:br/>
        <w:t>Another reason is that games can improve students' focus and motivation. This is primarily due to the fact that interactive content keeps students engaged in the learning process. This can be exemplified by the fact that educational apps make learning feel like playing a game. The outcome is that students are more willing to study and spend time on homework. This clearly aligns with the view that games support academic performance.</w:t>
        <w:br/>
        <w:br/>
        <w:t>In conclusion, I strongly disagree with the view that computer and online games should not be banned in schools because they can have educational value. This is because games are useful tools for developing critical thinking skills, and they also improve students' focus and motivation.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