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#121 (c1)</w:t>
      </w:r>
    </w:p>
    <w:p>
      <w:r>
        <w:t xml:space="preserve">Prompt: </w:t>
      </w:r>
    </w:p>
    <w:p>
      <w:r>
        <w:t>--------------------</w:t>
      </w:r>
    </w:p>
    <w:p>
      <w:r>
        <w:t>The debate surrounding the integration of online games and computer use within the educational environment is quite prevalent. In my opinion, I strongly disagree with disagree. This essay will provide two reasons supporting my idea.</w:t>
        <w:br/>
        <w:br/>
        <w:t>Integrating online games into the classroom setting can significantly enhance students' engagement with academic material. In other words, these interactive platforms transform passive learning into an active, enjoyable experience in everyday life. For instance, educational simulations designed for history can allow students to virtually explore ancient civilizations. As a result, the subject matter becomes more tangible and memorable for the students. Hence, it becomes evident that such tools support deeper understanding and retention of knowledge.</w:t>
        <w:br/>
        <w:br/>
        <w:t>Furthermore, these digital devices can cultivate crucial problem-solving skills necessary for modern life. This is primarily due to the fact that many online games require strategic thinking and rapid decision-making. This can be exemplified by the fact that puzzle-solving games challenge users to optimize complex systems under time constraints. The outcome is that students develop enhanced critical thinking abilities and improve their cognitive load management. This clearly aligns with the view that technology offers valuable educational utility.</w:t>
        <w:br/>
        <w:br/>
        <w:t>In conclusion, I strongly disagree with disagree. This is clear from integrating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