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#122 (a2_b1)</w:t>
      </w:r>
    </w:p>
    <w:p>
      <w:r>
        <w:t xml:space="preserve">Prompt: </w:t>
      </w:r>
    </w:p>
    <w:p>
      <w:r>
        <w:t>--------------------</w:t>
      </w:r>
    </w:p>
    <w:p>
      <w:r>
        <w:t>Some people think that where a person grows up defines who they are. In my opinion, I strongly disagree with disagree. This essay will provide two reasons supporting my idea.</w:t>
        <w:br/>
        <w:br/>
        <w:t>A person's early life place shapes their personality. In other words, the community where a child lives gives them many ideas in daily life in daily life in daily life. For example, a child who lives near the sea learns about fishing and boats in daily life in daily life today. As a result, this person might enjoy ocean activities and live by the water. This shows that the local setting has a big impact on a person.</w:t>
        <w:br/>
        <w:br/>
        <w:t>Another reason is that a place gives us important life skills. This is because people in different areas do different kinds of work in daily life in daily life in daily life today. For example, a child in a farming area learns about planting and caring for crops in daily life in daily life. As a result, they become good at working with their hands and understanding nature. This supports the view that the local setting teaches useful skills.</w:t>
        <w:br/>
        <w:br/>
        <w:t>In conclusion, I strongly disagree with disagree. This is clear from person's and another.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