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#122 (b2)</w:t>
      </w:r>
    </w:p>
    <w:p>
      <w:r>
        <w:t xml:space="preserve">Prompt: </w:t>
      </w:r>
    </w:p>
    <w:p>
      <w:r>
        <w:t>--------------------</w:t>
      </w:r>
    </w:p>
    <w:p>
      <w:r>
        <w:t>Some people discuss whether a person's character is shaped by where they live or if their surroundings have little impact. In my opinion, I strongly agree with agreeing with the statement. This essay will provide two reasons supporting my idea.</w:t>
        <w:br/>
        <w:br/>
        <w:t>The place where a person grows up greatly affects their personality. In other words, the community and culture of a region teach people many things about life. For instance, growing up in a busy city teaches people how to manage crowds and fast life. As a result, people become good at dealing with many different kinds of people. Hence, it becomes evident that the environment plays a major role in shaping a person's character.</w:t>
        <w:br/>
        <w:br/>
        <w:t>Another reason is that the local environment influences a person's social habits. This is primarily due to the fact that the resources and activities available in a place guide how people interact. This can be exemplified by the fact that a coastal town encourages people to enjoy outdoor sports and the sea. The outcome is that residents develop a strong love for nature and physical activity. This clearly aligns with the view that the environment shapes our social habits.</w:t>
        <w:br/>
        <w:br/>
        <w:t>In conclusion, I strongly agree with agreeing with the statement. This is because the environment significantly shapes a person's character by influencing their ability to interact with diverse people and by guiding their social habits through available local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