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#122 (b2)</w:t>
      </w:r>
    </w:p>
    <w:p>
      <w:r>
        <w:t xml:space="preserve">Prompt: </w:t>
      </w:r>
    </w:p>
    <w:p>
      <w:r>
        <w:t>--------------------</w:t>
      </w:r>
    </w:p>
    <w:p>
      <w:r>
        <w:t>Some people believe that the place where a person grows up shapes who they become, while others think this environment has little impact. In my opinion, I strongly disagree with disagreeing with the statement. This essay will provide two reasons supporting my idea.</w:t>
        <w:br/>
        <w:br/>
        <w:t>A person's early life setting greatly affects their character development. In other words, the community and surroundings provide the initial lessons for living. For instance, growing up in a busy city teaches people to be quick and adaptable. As a result, individuals learn how to manage crowds and fast changes in life. Hence, it becomes evident that the physical setting shapes a person's initial skills and outlook.</w:t>
        <w:br/>
        <w:br/>
        <w:t>Another reason is that the social environment shapes a person's beliefs and values. This is primarily due to the fact that family and friends teach us what is normal and important. This can be exemplified by the fact that a person raised near nature develops a deep respect for the environment. The outcome is that they feel a strong connection to the outdoors and care for wildlife. This clearly aligns with the view that the social setting guides a person's moral compass.</w:t>
        <w:br/>
        <w:br/>
        <w:t>In conclusion, I strongly disagree with the idea that environment has little impact. The early life setting greatly affects their character development, and the social environment shapes a person's beliefs and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