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#122 (c1)</w:t>
      </w:r>
    </w:p>
    <w:p>
      <w:r>
        <w:t xml:space="preserve">Prompt: </w:t>
      </w:r>
    </w:p>
    <w:p>
      <w:r>
        <w:t>--------------------</w:t>
      </w:r>
    </w:p>
    <w:p>
      <w:r>
        <w:t>The extent to which a person's upbringing determines their character is a subject of considerable debate. In my opinion, I strongly disagree with disagree. This essay will provide two reasons supporting my idea.</w:t>
        <w:br/>
        <w:br/>
        <w:t>The geographical location where an individual spends their formative years significantly shapes their inherent traits. In other words, the cultural milieu and social norms encountered during childhood leave a lasting imprint on one's worldview. For instance, growing up in a bustling metropolis exposes children to diverse economic strata and rapid social change. As a result, these experiences cultivate adaptability and a broad understanding of human interaction. Hence, it becomes evident that the environment plays a crucial role in shaping personality development.</w:t>
        <w:br/>
        <w:br/>
        <w:t>Furthermore, the community surrounding a person dictates much of their behavioral patterns and aspirations. This is primarily due to the fact that the resources and opportunities available in a specific area mold ambition and educational attainment. This can be exemplified by the fact that celebrities who originate from affluent backgrounds often have access to superior educational institutions. The outcome is that their professional trajectories tend to be more stable and globally recognized. This clearly aligns with the view that the environment is a powerful determinant of an individual's life path.</w:t>
        <w:br/>
        <w:br/>
        <w:t>In conclusion, I strongly disagree with disagree. This is clear from geographical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