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#125 (c1)</w:t>
      </w:r>
    </w:p>
    <w:p>
      <w:r>
        <w:t xml:space="preserve">Prompt: </w:t>
      </w:r>
    </w:p>
    <w:p>
      <w:r>
        <w:t>--------------------</w:t>
      </w:r>
    </w:p>
    <w:p>
      <w:r>
        <w:t>The distribution of men and women across various occupations often appears fixed, leading some to believe that this imbalance is unchangeable. In my opinion, I strongly agree with agree. This essay will provide two reasons supporting my idea.</w:t>
        <w:br/>
        <w:br/>
        <w:t>A significant factor contributing to occupational imbalances is the ingrained nature of societal expectations regarding gender roles. In other words, traditional cultural norms often dictate which activities are deemed suitable for men or women. For instance, nursing and teaching fields frequently exhibit a higher proportion of women, while engineering and construction remain predominantly male. As a result, these patterns reinforce the notion that certain careers are inherently gendered. Hence, it becomes evident that these established norms significantly influence professional representation.</w:t>
        <w:br/>
        <w:br/>
        <w:t>Another compelling reason for this skewed distribution is the historical development of labor market structures. This is primarily due to the fact that early industrialization often separated tasks based on perceived physical strength or domestic suitability. This can be exemplified by the fact that manual labor, which required considerable physical exertion, was historically assigned to men. The outcome is that these historical assignments created deeply entrenched occupational segregation. This clearly aligns with the view that systemic bias dictates career paths.</w:t>
        <w:br/>
        <w:br/>
        <w:t>In conclusion, I strongly agree with agree. This is clear from significant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