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(c1)</w:t>
      </w:r>
    </w:p>
    <w:p>
      <w:r>
        <w:t xml:space="preserve">Prompt: </w:t>
      </w:r>
    </w:p>
    <w:p>
      <w:r>
        <w:t>--------------------</w:t>
      </w:r>
    </w:p>
    <w:p>
      <w:r>
        <w:t>The distribution of men and women across various occupations is often observed, leading some to suggest this imbalance is unchangeable. In my opinion, I strongly disagree with disagree. This essay will provide two reasons supporting my idea.</w:t>
        <w:br/>
        <w:br/>
        <w:t>Such occupational imbalances are not inevitable facts of life. In other words, societal structures and cultural expectations significantly influence professional representation in everyday life in everyday life. For instance, the historical tendency for women to pursue caregiving roles limits their visibility in technical fields. As a result, the labor market appears skewed, suggesting a lack of equal opportunity. Hence, it becomes evident that active intervention is necessary to achieve parity.</w:t>
        <w:br/>
        <w:br/>
        <w:t>Furthermore, the notion of fixed gender roles overlooks the potential for individual ambition. This is primarily due to the fact that educational institutions and corporate cultures can actively promote diverse career paths in everyday life. This can be exemplified by the fact that modern mentorship programs actively encourage young women into STEM disciplines. The outcome is that professional advancement becomes less dependent on traditional gender norms. This clearly aligns with the view that systemic bias can be mitigated through focused efforts.</w:t>
        <w:br/>
        <w:br/>
        <w:t>In conclusion, I strongly disagree with disagree. This is clear from occupational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