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#126 (c1)</w:t>
      </w:r>
    </w:p>
    <w:p>
      <w:r>
        <w:t xml:space="preserve">Prompt: </w:t>
      </w:r>
    </w:p>
    <w:p>
      <w:r>
        <w:t>--------------------</w:t>
      </w:r>
    </w:p>
    <w:p>
      <w:r>
        <w:t>The increasing interest in space exploration presents both remarkable scientific opportunities and considerable environmental challenges. In my opinion, I strongly agree with agreeing with the statement. This essay will provide two reasons supporting my idea.</w:t>
        <w:br/>
        <w:br/>
        <w:t>Public funding should be allocated to space travel because it promotes technological advancement and global scientific knowledge. In other words, governmental investment drives innovation across multiple sectors. For instance, the development of advanced rocket propulsion systems has yielded benefits for terrestrial industries, such as medical imaging. As a result, the expertise gained in orbital mechanics can improve resource management on Earth. Hence, it becomes evident that funding space exploration yields substantial returns for humanity.</w:t>
        <w:br/>
        <w:br/>
        <w:t>Furthermore, allocating public funds to space travel is crucial for establishing international cooperation and maintaining global stability. This is primarily due to the fact that space projects necessitate collaboration among multiple nations. This can be exemplified by the fact that This can be exemplified by the International Space Station, which involves numerous countries sharing resources and expertise. The outcome is that such joint ventures foster diplomatic ties and reduce geopolitical tensions. This clearly aligns with the view that space endeavors are powerful tools for promoting global harmony.</w:t>
        <w:br/>
        <w:br/>
        <w:t>In conclusion, I strongly agree with agreeing with the statement. This is because space exploration stimulates technological progress and yields substantial terrestrial benefits, while simultaneously fostering international cooperation and promoting global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