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#127 (c1)</w:t>
      </w:r>
    </w:p>
    <w:p>
      <w:r>
        <w:t xml:space="preserve">Prompt: </w:t>
      </w:r>
    </w:p>
    <w:p>
      <w:r>
        <w:t>--------------------</w:t>
      </w:r>
    </w:p>
    <w:p>
      <w:r>
        <w:t>The question of whether children should participate in extra classes or engage in after-school play is a subject of considerable debate. In my opinion, I strongly agree with agree. This essay will provide two reasons supporting my idea.</w:t>
        <w:br/>
        <w:br/>
        <w:t>Engaging in structured academic classes provides children with specialized knowledge that supports their intellectual growth. In other words, these classes allow students to deepen their understanding of specific subjects beyond the core curriculum. For instance, attending an advanced science workshop can expose a child to complex concepts not covered in regular school lessons. As a result, students develop a more robust academic skillset, which is beneficial for future studies. Hence, it becomes evident that structured learning significantly enhances a child's academic performance.</w:t>
        <w:br/>
        <w:br/>
        <w:t>Furthermore, dedicating time to play outside of structured learning is crucial for developing essential social and emotional skills. This is primarily due to the fact that unstructured play requires children to interact and negotiate roles with their peers. This can be exemplified by the fact that playing team sports teaches cooperation and conflict resolution in a natural setting. The outcome is that children build stronger interpersonal relationships and learn valuable self-regulation techniques. This clearly aligns with the view that play is fundamental for emotional development.</w:t>
        <w:br/>
        <w:br/>
        <w:t>In conclusion, I strongly agree with agree. This is clear from engaging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