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(c1)</w:t>
      </w:r>
    </w:p>
    <w:p>
      <w:r>
        <w:t xml:space="preserve">Prompt: </w:t>
      </w:r>
    </w:p>
    <w:p>
      <w:r>
        <w:t>--------------------</w:t>
      </w:r>
    </w:p>
    <w:p>
      <w:r>
        <w:t>The acquisition of practical skills is immensely valuable for individuals navigating the complexities of modern professional life. In my opinion, I strongly agree with agreeing with the statement. This essay will provide two reasons supporting my idea.</w:t>
        <w:br/>
        <w:br/>
        <w:t>Developing practical skills equips individuals with tangible abilities necessary for immediate employment. In other words, these competencies allow people to perform specific tasks without extensive theoretical guidance. For instance, proficiency in data analysis or basic coding provides immediate utility in many industries. As a result, graduates are more appealing to employers who seek ready-to-use talent. Hence, it becomes evident that practical skills significantly enhance career prospects.</w:t>
        <w:br/>
        <w:br/>
        <w:t>Furthermore, practical skills foster self-reliance and adaptability in various life situations. This is primarily due to the fact that hands-on experience builds confidence and problem-solving capacity. This can be exemplified by the fact that managing personal finances or repairing household items requires practical knowledge. The outcome is that individuals become more self-sufficient and less dependent on external support. This clearly aligns with the view that practical skills are crucial for overall personal development.</w:t>
        <w:br/>
        <w:br/>
        <w:t>In conclusion, I strongly agree that practical skills are vital for success. These skills not only enhance career prospects but also foster self-reliance, making them indispensable for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