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#128 (c1)</w:t>
      </w:r>
    </w:p>
    <w:p>
      <w:r>
        <w:t xml:space="preserve">Prompt: </w:t>
      </w:r>
    </w:p>
    <w:p>
      <w:r>
        <w:t>--------------------</w:t>
      </w:r>
    </w:p>
    <w:p>
      <w:r>
        <w:t>The notion that practical skills are solely acquired through formal academic curricula is an oversimplification of human development. In my opinion, I strongly disagree with disagreeing with the statement. This essay will provide two reasons supporting my idea.</w:t>
        <w:br/>
        <w:br/>
        <w:t>Individuals acquire crucial life competencies through diverse experiences outside the classroom setting. In other words, practical knowledge is often gained through hands-on participation and real-world challenges. For instance, managing a personal budget or coordinating a community event requires skills not taught in textbooks. As a result, people develop resilience and problem-solving abilities that academic study alone cannot provide. Hence, it becomes evident that practical learning is an indispensable component of a comprehensive education.</w:t>
        <w:br/>
        <w:br/>
        <w:t>Furthermore, the development of soft skills is significantly enhanced by non-academic involvement. This is primarily due to the fact that collaborative projects necessitate communication and teamwork. This can be exemplified by the fact that volunteering for a local charity requires interacting with diverse groups of people. The outcome is that participants improve their interpersonal communication and leadership capabilities substantially. This clearly aligns with the view that practical engagement is vital for holistic personal growth.</w:t>
        <w:br/>
        <w:br/>
        <w:t>In conclusion, I strongly disagree with the statement that practical skills are only learned academically. Developing competencies through real-world experiences and non-academic involvement are equally crucial for personal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