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#129 (b2)</w:t>
      </w:r>
    </w:p>
    <w:p>
      <w:r>
        <w:t xml:space="preserve">Prompt: </w:t>
      </w:r>
    </w:p>
    <w:p>
      <w:r>
        <w:t>--------------------</w:t>
      </w:r>
    </w:p>
    <w:p>
      <w:r>
        <w:t>The question of whether aeroplanes or cars have a greater impact on human life is a topic of much discussion. In my opinion, I strongly agree with agree. This essay will provide two reasons supporting my idea.</w:t>
        <w:br/>
        <w:br/>
        <w:t>Aeroplanes have a massive impact on human life because they connect people across great distances quickly. In other words, they allow people to travel between continents in a short time. For instance, a business person can fly from London to New York in just a few hours. As a result, global trade increases, and people can visit family far away. Hence, it becomes evident that aeroplanes greatly change how people live and work.</w:t>
        <w:br/>
        <w:br/>
        <w:t>Cars also have a major impact on human life, especially in daily routines. This is primarily due to the fact that they provide personal freedom of movement for many people. This can be exemplified by the fact that a family can drive to a remote beach house for a weekend trip. The outcome is that people can live in areas that are not easily reached by public transport. This clearly aligns with the view that cars give people great independence in their daily lives.</w:t>
        <w:br/>
        <w:br/>
        <w:t>In conclusion, I strongly agree that aeroplanes and cars both have a major impact on human life. Aeroplanes change how people work globally, while cars give people great independence in their daily lives.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