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#129 (b2)</w:t>
      </w:r>
    </w:p>
    <w:p>
      <w:r>
        <w:t xml:space="preserve">Prompt: </w:t>
      </w:r>
    </w:p>
    <w:p>
      <w:r>
        <w:t>--------------------</w:t>
      </w:r>
    </w:p>
    <w:p>
      <w:r>
        <w:t>Both aeroplanes and cars are important methods of transportation that affect human life in different ways. In my opinion, I strongly disagree with disagree. This essay will provide two reasons supporting my idea.</w:t>
        <w:br/>
        <w:br/>
        <w:t>Aeroplanes have a major impact on global travel and trade. In other words, they allow people to move across very long distances quickly. For instance, a cargo plane can move goods from Asia to Europe in just a few hours. As a result, businesses can operate globally and trade items easily. Hence, it becomes evident that aeroplanes help connect the world economy.</w:t>
        <w:br/>
        <w:br/>
        <w:t>Cars also greatly influence daily life and local movement. This is primarily due to the fact that they provide personal freedom for short journeys. This can be exemplified by the fact that a family car allows people to go to the local market easily. The outcome is that people do not need to rely on fixed public routes for every trip. This clearly aligns with the view that cars give people great personal mobility.</w:t>
        <w:br/>
        <w:br/>
        <w:t>In conclusion, I strongly disagree with the idea that one is better than the other. Both aeroplanes, which connect the world economy, and cars, which give people great personal mobility, are important for modern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