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#129 (c1)</w:t>
      </w:r>
    </w:p>
    <w:p>
      <w:r>
        <w:t xml:space="preserve">Prompt: </w:t>
      </w:r>
    </w:p>
    <w:p>
      <w:r>
        <w:t>--------------------</w:t>
      </w:r>
    </w:p>
    <w:p>
      <w:r>
        <w:t>The comparison between aeroplanes and cars in terms of their impact on human life is a widely debated topic. In my opinion, I strongly agree with agree. This essay will provide two reasons supporting my idea.</w:t>
        <w:br/>
        <w:br/>
        <w:t>Aeroplanes have fundamentally altered the scope of human interaction and global commerce. In other words, they enable people to traverse vast geographical distances in a fraction of the time previously required. For instance, a journey from New York to London, which once took weeks by ship, now takes merely a few hours. As a result, international business transactions and cultural exchanges have accelerated dramatically. Hence, it becomes evident that aeroplanes have a profound influence on global connectivity.</w:t>
        <w:br/>
        <w:br/>
        <w:t>Cars, on the other hand, have revolutionized local mobility and daily routines. This is primarily due to the fact that they offer unparalleled convenience for navigating urban and suburban environments. This can be exemplified by the fact that a family can transport multiple passengers and goods directly to their destination. The outcome is that local economies thrive, supporting countless service industries and facilitating daily commutes. This clearly aligns with the view that cars are essential for maintaining local community structures.</w:t>
        <w:br/>
        <w:br/>
        <w:t>In conclusion, I strongly agree that both vehicles are impactful, but aeroplanes' ability to facilitate global connectivity and cars' role in maintaining local community structures demonstrate their respective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