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#129 (c1)</w:t>
      </w:r>
    </w:p>
    <w:p>
      <w:r>
        <w:t xml:space="preserve">Prompt: </w:t>
      </w:r>
    </w:p>
    <w:p>
      <w:r>
        <w:t>--------------------</w:t>
      </w:r>
    </w:p>
    <w:p>
      <w:r>
        <w:t>Both aeroplanes and cars are crucial forms of transportation that significantly influence modern human life. In my opinion, I strongly disagree with disagree. This essay will provide two reasons supporting my idea.</w:t>
        <w:br/>
        <w:br/>
        <w:t>Aeroplanes have a profound impact on global connectivity and economic growth. In other words, they facilitate the rapid movement of people and goods across vast distances in everyday life in everyday life in everyday life. For instance, international cargo flights enable businesses to source materials from diverse continents. As a result, global supply chains become more robust and interconnected. Hence, it becomes evident that air travel is instrumental in fostering worldwide commerce.</w:t>
        <w:br/>
        <w:br/>
        <w:t>Cars, on the other hand, provide unparalleled local mobility and personal freedom. This is primarily due to the fact that they allow individuals to navigate local communities at their own pace in everyday life in everyday life in everyday life. This can be exemplified by the fact that suburban residents rely on personal vehicles for daily commutes. The outcome is that local economies thrive, supporting numerous service industries. This clearly aligns with the view that personal cars are vital for maintaining community life.</w:t>
        <w:br/>
        <w:br/>
        <w:t>In conclusion, I strongly disagree with disagree. This is clear from aeroplanes and cars.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