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(c1)</w:t>
      </w:r>
    </w:p>
    <w:p>
      <w:r>
        <w:t xml:space="preserve">Prompt: </w:t>
      </w:r>
    </w:p>
    <w:p>
      <w:r>
        <w:t>--------------------</w:t>
      </w:r>
    </w:p>
    <w:p>
      <w:r>
        <w:t>The debate concerning whether governments should prioritize arts funding over technological research is a persistent one. In my opinion, I strongly agree with agree. This essay will provide two reasons supporting my idea.</w:t>
        <w:br/>
        <w:br/>
        <w:t>Arts, such as theater and visual arts, are vital components of a society's cultural fabric. In other words, these creative disciplines contribute significantly to community identity and emotional well-being. For instance, local theaters provide accessible platforms for community members to engage with diverse narratives. As a result, this sustained engagement fosters a deeper sense of shared cultural heritage among citizens. Hence, it becomes evident that arts funding is crucial for maintaining a vibrant and cohesive society.</w:t>
        <w:br/>
        <w:br/>
        <w:t>Technology research, conversely, is instrumental in driving economic progress and improving daily life. This is primarily due to the fact that technological innovation creates new industries and enhances global competitiveness. This can be exemplified by the fact that investment in AI research has led to breakthroughs in medical diagnostics. The outcome is that improved healthcare accessibility significantly boosts the overall quality of life for the population. This clearly aligns with the view that technological advancement must be a primary governmental focus.</w:t>
        <w:br/>
        <w:br/>
        <w:t>In conclusion, I strongly agree that governments must allocate substantial resources to both sectors. While arts funding is essential for cultural enrichment, prioritizing technological advancement is equally necessary for socio-economic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