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#132 (c1)</w:t>
      </w:r>
    </w:p>
    <w:p>
      <w:r>
        <w:t xml:space="preserve">Prompt: </w:t>
      </w:r>
    </w:p>
    <w:p>
      <w:r>
        <w:t>--------------------</w:t>
      </w:r>
    </w:p>
    <w:p>
      <w:r>
        <w:t>The debate surrounding governmental funding often involves whether resources should be allocated to the arts, such as theaters, or to critical areas like technology research. In my opinion, I strongly disagree with supporting the second option. This essay will provide two reasons supporting my idea.</w:t>
        <w:br/>
        <w:br/>
        <w:t>The arts contribute significantly to a society's cultural enrichment and overall quality of life. In other words, artistic endeavors provide essential outlets for human expression and community bonding. For instance, local theaters host workshops that teach individuals valuable creative skills. As a result, these cultural programs foster a sense of belonging among residents. Hence, it becomes evident that arts funding is crucial for maintaining a vibrant community spirit.</w:t>
        <w:br/>
        <w:br/>
        <w:t>Conversely, governmental focus on technology research is vital for sustained economic progress and national competitiveness. This is primarily due to the fact that technological advancements drive innovation across multiple sectors. This can be exemplified by the fact that investment in AI research leads to breakthroughs in healthcare. The outcome is that improved medical technologies enhance public health outcomes significantly. This clearly aligns with the view that technological development must be a top priority for nations.</w:t>
        <w:br/>
        <w:br/>
        <w:t>In conclusion, I strongly disagree with supporting the second option. This is because the arts are crucial for fostering community spirit and cultural enrichment, while technological research is vital for driving economic progress and national competitiveness.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