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(c1)</w:t>
      </w:r>
    </w:p>
    <w:p>
      <w:r>
        <w:t xml:space="preserve">Prompt: </w:t>
      </w:r>
    </w:p>
    <w:p>
      <w:r>
        <w:t>--------------------</w:t>
      </w:r>
    </w:p>
    <w:p>
      <w:r>
        <w:t>There is a common belief that younger employees possess superior skills, knowledge, and motivation compared to their older counterparts. In my opinion, I strongly agree with agreeing with the statement. This essay will provide two reasons supporting my idea.</w:t>
        <w:br/>
        <w:br/>
        <w:t>Younger workers often bring a high degree of digital literacy and enthusiasm to the workplace. In other words, they are inherently comfortable navigating new technologies and adopting modern digital tools. For instance, a recent graduate might quickly master a new social media marketing platform, something that requires minimal training. As a result, the company's ability to engage with modern consumers is significantly enhanced. Hence, it becomes evident that their technological proficiency is a considerable asset to any organization.</w:t>
        <w:br/>
        <w:br/>
        <w:t>Furthermore, younger generations typically exhibit a greater willingness to embrace change and learn new methodologies. This is primarily due to the fact that they grew up in an era of rapid technological advancement and constant adaptation. This can be exemplified by the fact that they readily pivot their career focus when an industry undergoes a major transformation. The outcome is that the workforce remains agile and resilient in the face of market fluctuations. This clearly aligns with the view that their adaptability is crucial for future business success.</w:t>
        <w:br/>
        <w:br/>
        <w:t>In conclusion, I strongly agree with agreeing with the statement. This is because younger workers possess superior digital literacy and are inherently more adaptable, ensuring organizational resilience and technological proficiency.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