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#134 (c1)</w:t>
      </w:r>
    </w:p>
    <w:p>
      <w:r>
        <w:t xml:space="preserve">Prompt: </w:t>
      </w:r>
    </w:p>
    <w:p>
      <w:r>
        <w:t>--------------------</w:t>
      </w:r>
    </w:p>
    <w:p>
      <w:r>
        <w:t>The role of education systems in preparing students for modern life is a subject of continuous debate. In my opinion, I strongly disagree with disagreeing with the statement. This essay will provide two reasons supporting my idea.</w:t>
        <w:br/>
        <w:br/>
        <w:t>A robust educational framework must prioritize practical skills over purely theoretical knowledge. In other words, academic curricula should incorporate hands-on learning experiences to better simulate professional environments. For instance, vocational training programs that allow students to work with industry professionals provide invaluable real-world exposure. As a result, graduates possess a more comprehensive skill set, making them immediately employable upon graduation. Hence, it becomes evident that integrating practical components significantly enhances the overall value of a degree.</w:t>
        <w:br/>
        <w:br/>
        <w:t>Furthermore, modern education must cultivate critical thinking abilities rather than merely transmitting facts. This is primarily due to the fact that the contemporary job market demands problem-solvers who can analyze complex situations. This can be exemplified by the fact that university courses incorporating case studies require students to evaluate multiple perspectives and formulate original arguments. The outcome is that individuals develop intellectual autonomy, enabling them to navigate ambiguity and make informed decisions. This clearly aligns with the view that education's primary function is intellectual development, not rote memorization.</w:t>
        <w:br/>
        <w:br/>
        <w:t>In conclusion, I strongly disagree with the notion that education should focus solely on academic theory. A comprehensive system must prioritize practical skills and also cultivate critical thinking abilities to truly prepare students for the complexities of modern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