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#135 (c1)</w:t>
      </w:r>
    </w:p>
    <w:p>
      <w:r>
        <w:t xml:space="preserve">Prompt: </w:t>
      </w:r>
    </w:p>
    <w:p>
      <w:r>
        <w:t>--------------------</w:t>
      </w:r>
    </w:p>
    <w:p>
      <w:r>
        <w:t>In the current era of globalization, the ability to communicate in a foreign language is increasingly considered essential for professional success. In my opinion, I strongly agree with agreeing with the statement. This essay will provide two reasons supporting my idea.</w:t>
        <w:br/>
        <w:br/>
        <w:t>Acquiring linguistic proficiency significantly broadens one's professional horizons. In other words, knowing another language opens up diverse career paths that were previously inaccessible. For instance, a marketing professional who speaks Mandarin can secure roles in Asian markets, expanding their job opportunities. As a result, their potential salary and scope of work increase considerably. Hence, it becomes evident that language skills provide a substantial economic advantage.</w:t>
        <w:br/>
        <w:br/>
        <w:t>Furthermore, foreign languages facilitate deeper cultural understanding and personal growth. This is primarily due to the fact that language is intrinsically linked to a culture's unique perspectives and traditions. This can be exemplified by the fact that studying Italian allows one to appreciate the nuances of Italian art and history. The outcome is that individuals develop a broader worldview and greater empathy for different societies. This clearly aligns with the view that language learning promotes global citizenship.</w:t>
        <w:br/>
        <w:br/>
        <w:t>In conclusion, I strongly agree with agreeing with the statement. This is because acquiring linguistic proficiency provides substantial economic advantages by opening diverse career paths, and it also facilitates deeper cultural understanding by promoting a broader worldview.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