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#135 (c1)</w:t>
      </w:r>
    </w:p>
    <w:p>
      <w:r>
        <w:t xml:space="preserve">Prompt: </w:t>
      </w:r>
    </w:p>
    <w:p>
      <w:r>
        <w:t>--------------------</w:t>
      </w:r>
    </w:p>
    <w:p>
      <w:r>
        <w:t>The increasing interconnectedness of the global world has led many people to believe that linguistic proficiency in foreign languages is essential for success. In my opinion, I strongly disagree with disagree. This essay will provide two reasons supporting my idea.</w:t>
        <w:br/>
        <w:br/>
        <w:t>While foreign language skills are beneficial, professional success depends on a broader array of competencies. In other words, a person's overall skill set, including critical thinking and adaptability, holds greater weight. For instance, many successful entrepreneurs manage international teams using digital communication tools, rather than requiring perfect fluency. As a result, the ability to negotiate and solve complex problems transcends mere linguistic ability. Hence, it becomes evident that diverse skills are more crucial for career advancement.</w:t>
        <w:br/>
        <w:br/>
        <w:t>Furthermore, relying solely on language skills overlooks the importance of professional experience and industry knowledge. This is primarily due to the fact that specialized expertise provides immediate value in the job market. This can be exemplified by the fact that a skilled engineer, even if not fluent in a foreign language, is highly sought after globally. The outcome is that employers prioritize demonstrable technical competence over linguistic mastery. This clearly aligns with the view that specialized knowledge is the primary driver of professional achievement.</w:t>
        <w:br/>
        <w:br/>
        <w:t>In conclusion, I strongly disagree with disagree. This is clear from while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