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#136 (c1)</w:t>
      </w:r>
    </w:p>
    <w:p>
      <w:r>
        <w:t xml:space="preserve">Prompt: </w:t>
      </w:r>
    </w:p>
    <w:p>
      <w:r>
        <w:t>--------------------</w:t>
      </w:r>
    </w:p>
    <w:p>
      <w:r>
        <w:t>The question of whether wealthy nations have an obligation to distribute their resources to poorer countries is a matter of global ethical debate. In my opinion, I strongly agree with agree. This essay will provide two reasons supporting my idea.</w:t>
        <w:br/>
        <w:br/>
        <w:t>Such a responsibility is fundamentally rooted in the concept of global solidarity. In other words, the vast economic disparity between nations creates systemic disadvantages for developing countries. For instance, a nation lacking adequate infrastructure cannot compete effectively in global markets, regardless of its natural resources. As a result, the cycle of poverty becomes entrenched, making self-sufficiency extremely difficult to achieve. Hence, it becomes evident that external assistance is crucial for initiating sustainable growth and improving life.</w:t>
        <w:br/>
        <w:br/>
        <w:t>Furthermore, sharing wealth helps stabilize the international economic system. This is primarily due to the fact that extreme global inequality can lead to political instability and conflict. This can be exemplified by the fact that resource scarcity often fuels civil unrest in vulnerable regions. The outcome is that stable, prosperous regions contribute to a more predictable and secure global environment for everyone. This clearly aligns with the view that economic aid is a necessary component of global stability.</w:t>
        <w:br/>
        <w:br/>
        <w:t>In conclusion, I strongly agree with agree. This is clear from responsibility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