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#136 (c1)</w:t>
      </w:r>
    </w:p>
    <w:p>
      <w:r>
        <w:t xml:space="preserve">Prompt: </w:t>
      </w:r>
    </w:p>
    <w:p>
      <w:r>
        <w:t>--------------------</w:t>
      </w:r>
    </w:p>
    <w:p>
      <w:r>
        <w:t>The question of whether wealthy nations have an obligation to distribute their surplus wealth among less affluent countries is a subject of considerable global debate. In my opinion, I strongly disagree with disagree. This essay will provide two reasons supporting my idea.</w:t>
        <w:br/>
        <w:br/>
        <w:t>Such mandatory wealth sharing is impractical because it undermines the economic autonomy of developed nations. In other words, countries must retain the resources necessary to maintain their own complex infrastructure and social services. For instance, a nation requires substantial capital to fund its advanced research and development programs. As a result, diverting these essential funds could severely hamper technological innovation and economic stability. Hence, it becomes evident that self-determination in economic policy is paramount for prosperous nations.</w:t>
        <w:br/>
        <w:br/>
        <w:t>Furthermore, imposing wealth transfers risks creating dependency rather than fostering genuine self-sufficiency in poorer regions. This is primarily due to the fact that receiving aid can discourage local governments from implementing necessary structural reforms. This can be exemplified by the fact that reliance on external funding may weaken the incentive to develop robust domestic industries. The outcome is that recipient countries might become accustomed to external support, slowing down their path toward sustainable growth. This clearly aligns with the view that internal policy decisions must drive true development.</w:t>
        <w:br/>
        <w:br/>
        <w:t>In conclusion, I strongly disagree with disagree. This is clear from mandatory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