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#138 (c1)</w:t>
      </w:r>
    </w:p>
    <w:p>
      <w:r>
        <w:t xml:space="preserve">Prompt: </w:t>
      </w:r>
    </w:p>
    <w:p>
      <w:r>
        <w:t>--------------------</w:t>
      </w:r>
    </w:p>
    <w:p>
      <w:r>
        <w:t>The debate regarding whether students should prioritize learning typing skills over traditional handwriting methods is quite common. In my opinion, I strongly agree with agreeing with the statement. This essay will provide two reasons supporting my idea.</w:t>
        <w:br/>
        <w:br/>
        <w:t>Learning typing offers significant advantages in the modern educational setting. In other words, typing allows for the rapid generation of textual content using a keyboard in everyday life. For instance, a student composing an essay on a computer can produce several pages in a short time. As a result, this efficiency greatly aids academic assignments and research projects. Hence, it becomes evident that typing is a crucial skill for contemporary academic success.</w:t>
        <w:br/>
        <w:br/>
        <w:t>Furthermore, typing proficiency is essential for developing specific cognitive abilities. This is primarily due to the fact that mastering keyboard techniques improves finger coordination and focus. This can be exemplified by the fact that practicing typing drills enhances fine motor skills and concentration. The outcome is that students become more adept at digital tasks, which is necessary for future careers. This clearly aligns with the view that typing is a necessary component of modern skill development.</w:t>
        <w:br/>
        <w:br/>
        <w:t>In conclusion, I strongly agree with agreeing with the statement. This is because typing significantly enhances academic efficiency and concurrently develops crucial cognitive abilities like coordination and focus.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