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#139 (c1)</w:t>
      </w:r>
    </w:p>
    <w:p>
      <w:r>
        <w:t xml:space="preserve">Prompt: </w:t>
      </w:r>
    </w:p>
    <w:p>
      <w:r>
        <w:t>--------------------</w:t>
      </w:r>
    </w:p>
    <w:p>
      <w:r>
        <w:t>The debate concerning whether traditional textbooks should be replaced by modern online resources and technological innovations is quite relevant. In my opinion, I strongly agree with agreeing with the statement. This essay will provide two reasons supporting my idea.</w:t>
        <w:br/>
        <w:br/>
        <w:t>Digital resources offer students unparalleled access to diverse and up-to-date information. In other words, physical textbooks often contain material that quickly becomes outdated. For instance, a textbook on technology might lack details about recent advancements in artificial intelligence. As a result, students receive a more comprehensive and current understanding of complex subjects. Hence, it becomes evident that digital platforms enhance the relevance of educational content.</w:t>
        <w:br/>
        <w:br/>
        <w:t>Technology integration significantly improves the learning experience through interactive methods. This is primarily due to the fact that online tools allow for personalized pacing and varied engagement. This can be exemplified by the fact that virtual reality simulations allow students to explore historical sites safely. The outcome is that learning becomes more immersive and engaging than simply reading static text. This clearly aligns with the view that technological tools boost student motivation and comprehension.</w:t>
        <w:br/>
        <w:br/>
        <w:t>In conclusion, I strongly agree that textbooks should transition to digital resources and technological innovations. The enhanced relevance of educational content and the improved learning experience through interactive methods demonstrate this necessity.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