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#139 (c1)</w:t>
      </w:r>
    </w:p>
    <w:p>
      <w:r>
        <w:t xml:space="preserve">Prompt: </w:t>
      </w:r>
    </w:p>
    <w:p>
      <w:r>
        <w:t>--------------------</w:t>
      </w:r>
    </w:p>
    <w:p>
      <w:r>
        <w:t>The debate concerning whether traditional textbooks should be replaced by modern online resources and technological innovations is quite prevalent. In my opinion, I strongly disagree with disagreeing with the statement. This essay will provide two reasons supporting my idea.</w:t>
        <w:br/>
        <w:br/>
        <w:t>Textbooks provide a structured and reliable foundation for academic learning. In other words, they offer a curated and comprehensive overview of a subject matter. For instance, a physical textbook ensures that all students receive the same core information, regardless of internet access. As a result, students can study the material offline, which is crucial in areas with poor connectivity. Hence, it becomes evident that physical books maintain a vital role in educational continuity.</w:t>
        <w:br/>
        <w:br/>
        <w:t>Physical textbooks offer tangible benefits that digital formats cannot fully replicate. This is primarily due to the fact that the act of reading from paper engages different sensory pathways than screen time. This can be exemplified by the fact that many students find that taking notes by hand improves memory retention and comprehension. The outcome is that the tactile experience of reading helps solidify knowledge in a way that scrolling through a screen does not. This clearly aligns with the view that traditional materials support deeper cognitive engagement.</w:t>
        <w:br/>
        <w:br/>
        <w:t>In conclusion, I strongly disagree with the notion that textbooks should be replaced by technology. Physical books provide essential structure, and traditional materials support deeper cognitive engagement, suggesting a continued need for these established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